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7F3A" w:rsidRDefault="00107F3A" w:rsidP="00122CEC">
      <w:pPr>
        <w:jc w:val="center"/>
        <w:rPr>
          <w:rFonts w:ascii="Arial" w:hAnsi="Arial" w:cs="Arial"/>
          <w:b/>
          <w:sz w:val="28"/>
          <w:szCs w:val="32"/>
          <w:lang w:val="en-US"/>
        </w:rPr>
      </w:pPr>
    </w:p>
    <w:p w:rsidR="00122CEC" w:rsidRPr="00136BAE" w:rsidRDefault="00136BAE" w:rsidP="00122CEC">
      <w:pPr>
        <w:jc w:val="center"/>
        <w:rPr>
          <w:rFonts w:ascii="Arial" w:hAnsi="Arial" w:cs="Arial"/>
          <w:b/>
          <w:sz w:val="32"/>
          <w:szCs w:val="32"/>
          <w:lang w:val="en-US"/>
        </w:rPr>
      </w:pPr>
      <w:r w:rsidRPr="00136BAE">
        <w:rPr>
          <w:rFonts w:ascii="Arial" w:hAnsi="Arial" w:cs="Arial"/>
          <w:b/>
          <w:sz w:val="32"/>
          <w:szCs w:val="32"/>
          <w:lang w:val="en-US"/>
        </w:rPr>
        <w:t>BUSE – Beyond User-in-the-Loop: User-in-the-Service</w:t>
      </w:r>
      <w:r>
        <w:rPr>
          <w:rFonts w:ascii="Arial" w:hAnsi="Arial" w:cs="Arial"/>
          <w:b/>
          <w:sz w:val="32"/>
          <w:szCs w:val="32"/>
          <w:lang w:val="en-US"/>
        </w:rPr>
        <w:br/>
      </w:r>
      <w:r w:rsidR="00ED7E08">
        <w:rPr>
          <w:rFonts w:ascii="Arial" w:hAnsi="Arial" w:cs="Arial"/>
          <w:b/>
          <w:sz w:val="32"/>
          <w:szCs w:val="32"/>
          <w:lang w:val="en-US"/>
        </w:rPr>
        <w:t xml:space="preserve">-- </w:t>
      </w:r>
      <w:r>
        <w:rPr>
          <w:rFonts w:ascii="Arial" w:hAnsi="Arial" w:cs="Arial"/>
          <w:b/>
          <w:sz w:val="32"/>
          <w:szCs w:val="32"/>
          <w:lang w:val="en-US"/>
        </w:rPr>
        <w:t>Final Report</w:t>
      </w:r>
    </w:p>
    <w:p w:rsidR="00BF5FAC" w:rsidRDefault="00BF5FAC" w:rsidP="00122CEC">
      <w:pPr>
        <w:jc w:val="center"/>
        <w:rPr>
          <w:rFonts w:ascii="Arial" w:hAnsi="Arial" w:cs="Arial"/>
          <w:b/>
          <w:sz w:val="28"/>
          <w:szCs w:val="32"/>
          <w:lang w:val="en-US"/>
        </w:rPr>
      </w:pPr>
    </w:p>
    <w:p w:rsidR="00DD6532" w:rsidRPr="00136BAE" w:rsidRDefault="00136BAE" w:rsidP="00122CEC">
      <w:pPr>
        <w:jc w:val="center"/>
        <w:rPr>
          <w:rFonts w:ascii="Arial" w:hAnsi="Arial" w:cs="Arial"/>
          <w:sz w:val="24"/>
          <w:szCs w:val="32"/>
          <w:lang w:val="en-US"/>
        </w:rPr>
      </w:pPr>
      <w:r w:rsidRPr="00136BAE">
        <w:rPr>
          <w:rFonts w:ascii="Arial" w:hAnsi="Arial" w:cs="Arial"/>
          <w:sz w:val="24"/>
          <w:szCs w:val="32"/>
          <w:lang w:val="en-US"/>
        </w:rPr>
        <w:t>Gabor Fodor, School of Electrical Engineering, Royal Institute of Technology</w:t>
      </w:r>
    </w:p>
    <w:p w:rsidR="00BF5FAC" w:rsidRPr="00136BAE" w:rsidRDefault="00BF5FAC" w:rsidP="00122CEC">
      <w:pPr>
        <w:jc w:val="center"/>
        <w:rPr>
          <w:rFonts w:ascii="Arial" w:hAnsi="Arial" w:cs="Arial"/>
          <w:sz w:val="24"/>
          <w:szCs w:val="32"/>
          <w:lang w:val="en-US"/>
        </w:rPr>
      </w:pPr>
    </w:p>
    <w:p w:rsidR="00F21AEE" w:rsidRPr="001709FB" w:rsidRDefault="00F21AEE" w:rsidP="001709FB">
      <w:pPr>
        <w:pStyle w:val="NormalWeb"/>
        <w:rPr>
          <w:rFonts w:asciiTheme="majorHAnsi" w:eastAsiaTheme="minorHAnsi" w:hAnsiTheme="majorHAnsi" w:cstheme="majorHAnsi"/>
          <w:sz w:val="20"/>
          <w:szCs w:val="20"/>
        </w:rPr>
      </w:pPr>
      <w:r w:rsidRPr="001709FB">
        <w:rPr>
          <w:rFonts w:asciiTheme="majorHAnsi" w:eastAsiaTheme="minorHAnsi" w:hAnsiTheme="majorHAnsi" w:cstheme="majorHAnsi"/>
          <w:sz w:val="20"/>
          <w:szCs w:val="20"/>
        </w:rPr>
        <w:t xml:space="preserve">This document summarizes the results and engineering insights of the Wireless@KTH seed project BUSE </w:t>
      </w:r>
      <w:r w:rsidR="00ED7E08" w:rsidRPr="001709FB">
        <w:rPr>
          <w:rFonts w:asciiTheme="majorHAnsi" w:eastAsiaTheme="minorHAnsi" w:hAnsiTheme="majorHAnsi" w:cstheme="majorHAnsi"/>
          <w:sz w:val="20"/>
          <w:szCs w:val="20"/>
        </w:rPr>
        <w:t xml:space="preserve">– in cooperation with Ericsson Research -- </w:t>
      </w:r>
      <w:r w:rsidRPr="001709FB">
        <w:rPr>
          <w:rFonts w:asciiTheme="majorHAnsi" w:eastAsiaTheme="minorHAnsi" w:hAnsiTheme="majorHAnsi" w:cstheme="majorHAnsi"/>
          <w:sz w:val="20"/>
          <w:szCs w:val="20"/>
        </w:rPr>
        <w:t>that was running during 2016-2017. The key results of BUSE are summarized in five IEEE journal and magazine articles [1-5], while the most recent results are summarized in a submitted manuscript under submission [6].</w:t>
      </w:r>
      <w:r w:rsidR="00ED7E08" w:rsidRPr="001709FB">
        <w:rPr>
          <w:rFonts w:asciiTheme="majorHAnsi" w:eastAsiaTheme="minorHAnsi" w:hAnsiTheme="majorHAnsi" w:cstheme="majorHAnsi"/>
          <w:sz w:val="20"/>
          <w:szCs w:val="20"/>
        </w:rPr>
        <w:t xml:space="preserve"> Further information about the BUSE project is available at the BUSE webpage </w:t>
      </w:r>
      <w:hyperlink r:id="rId7" w:history="1">
        <w:r w:rsidR="00ED7E08" w:rsidRPr="001709FB">
          <w:rPr>
            <w:rFonts w:asciiTheme="majorHAnsi" w:eastAsiaTheme="minorHAnsi" w:hAnsiTheme="majorHAnsi" w:cstheme="majorHAnsi"/>
            <w:color w:val="5893E6" w:themeColor="accent1" w:themeTint="99"/>
            <w:sz w:val="20"/>
            <w:szCs w:val="20"/>
          </w:rPr>
          <w:t>[BUSE]</w:t>
        </w:r>
      </w:hyperlink>
      <w:r w:rsidR="00ED7E08" w:rsidRPr="001709FB">
        <w:rPr>
          <w:rFonts w:asciiTheme="majorHAnsi" w:eastAsiaTheme="minorHAnsi" w:hAnsiTheme="majorHAnsi" w:cstheme="majorHAnsi"/>
          <w:sz w:val="20"/>
          <w:szCs w:val="20"/>
        </w:rPr>
        <w:t>.</w:t>
      </w:r>
      <w:r w:rsidR="00355D93">
        <w:rPr>
          <w:rFonts w:asciiTheme="majorHAnsi" w:eastAsiaTheme="minorHAnsi" w:hAnsiTheme="majorHAnsi" w:cstheme="majorHAnsi"/>
          <w:sz w:val="20"/>
          <w:szCs w:val="20"/>
        </w:rPr>
        <w:t xml:space="preserve"> The preliminary results of BUSE were presented in the form of posters in 2016 and 2017 at the Wireless@KTH days. </w:t>
      </w:r>
    </w:p>
    <w:p w:rsidR="00122CEC" w:rsidRPr="00555114" w:rsidRDefault="00F21AEE" w:rsidP="00122CEC">
      <w:pPr>
        <w:pStyle w:val="Heading1"/>
        <w:rPr>
          <w:sz w:val="20"/>
          <w:szCs w:val="20"/>
          <w:u w:val="single"/>
          <w:lang w:val="en-US"/>
        </w:rPr>
      </w:pPr>
      <w:r w:rsidRPr="00555114">
        <w:rPr>
          <w:sz w:val="20"/>
          <w:szCs w:val="20"/>
          <w:u w:val="single"/>
          <w:lang w:val="en-US"/>
        </w:rPr>
        <w:t xml:space="preserve">BUSE: </w:t>
      </w:r>
      <w:r w:rsidR="00FB647C" w:rsidRPr="00555114">
        <w:rPr>
          <w:sz w:val="20"/>
          <w:szCs w:val="20"/>
          <w:u w:val="single"/>
          <w:lang w:val="en-US"/>
        </w:rPr>
        <w:t>Background, Research Questions and Objectives</w:t>
      </w:r>
    </w:p>
    <w:p w:rsidR="00046F23" w:rsidRPr="00555114" w:rsidRDefault="00ED7E08" w:rsidP="00ED7E08">
      <w:pPr>
        <w:pStyle w:val="NormalWeb"/>
        <w:rPr>
          <w:rFonts w:asciiTheme="majorHAnsi" w:eastAsiaTheme="minorHAnsi" w:hAnsiTheme="majorHAnsi" w:cstheme="majorHAnsi"/>
          <w:sz w:val="20"/>
          <w:szCs w:val="20"/>
        </w:rPr>
      </w:pPr>
      <w:r w:rsidRPr="00555114">
        <w:rPr>
          <w:rFonts w:asciiTheme="majorHAnsi" w:eastAsiaTheme="minorHAnsi" w:hAnsiTheme="majorHAnsi" w:cstheme="majorHAnsi"/>
          <w:sz w:val="20"/>
          <w:szCs w:val="20"/>
        </w:rPr>
        <w:t xml:space="preserve">The objective of the BUSE project </w:t>
      </w:r>
      <w:r w:rsidRPr="00555114">
        <w:rPr>
          <w:rFonts w:asciiTheme="majorHAnsi" w:eastAsiaTheme="minorHAnsi" w:hAnsiTheme="majorHAnsi" w:cstheme="majorHAnsi"/>
          <w:sz w:val="20"/>
          <w:szCs w:val="20"/>
        </w:rPr>
        <w:t>was</w:t>
      </w:r>
      <w:r w:rsidRPr="00555114">
        <w:rPr>
          <w:rFonts w:asciiTheme="majorHAnsi" w:eastAsiaTheme="minorHAnsi" w:hAnsiTheme="majorHAnsi" w:cstheme="majorHAnsi"/>
          <w:sz w:val="20"/>
          <w:szCs w:val="20"/>
        </w:rPr>
        <w:t xml:space="preserve"> to </w:t>
      </w:r>
      <w:r w:rsidRPr="00555114">
        <w:rPr>
          <w:rFonts w:asciiTheme="majorHAnsi" w:eastAsiaTheme="minorHAnsi" w:hAnsiTheme="majorHAnsi" w:cstheme="majorHAnsi"/>
          <w:sz w:val="20"/>
          <w:szCs w:val="20"/>
        </w:rPr>
        <w:t>explore the ideas of social aware device-to-device communications and user-in-the-loop (UIL)</w:t>
      </w:r>
      <w:r w:rsidR="00046F23" w:rsidRPr="00555114">
        <w:rPr>
          <w:rFonts w:asciiTheme="majorHAnsi" w:eastAsiaTheme="minorHAnsi" w:hAnsiTheme="majorHAnsi" w:cstheme="majorHAnsi"/>
          <w:sz w:val="20"/>
          <w:szCs w:val="20"/>
        </w:rPr>
        <w:t xml:space="preserve"> [7]</w:t>
      </w:r>
      <w:r w:rsidRPr="00555114">
        <w:rPr>
          <w:rFonts w:asciiTheme="majorHAnsi" w:eastAsiaTheme="minorHAnsi" w:hAnsiTheme="majorHAnsi" w:cstheme="majorHAnsi"/>
          <w:sz w:val="20"/>
          <w:szCs w:val="20"/>
        </w:rPr>
        <w:t xml:space="preserve">, with the purpose of suggesting the idea of user-in-the-service (UIS). </w:t>
      </w:r>
    </w:p>
    <w:p w:rsidR="00ED7E08" w:rsidRPr="00555114" w:rsidRDefault="00046F23" w:rsidP="00ED7E08">
      <w:pPr>
        <w:pStyle w:val="NormalWeb"/>
        <w:rPr>
          <w:rFonts w:asciiTheme="majorHAnsi" w:eastAsiaTheme="minorHAnsi" w:hAnsiTheme="majorHAnsi" w:cstheme="majorHAnsi"/>
          <w:sz w:val="20"/>
          <w:szCs w:val="20"/>
        </w:rPr>
      </w:pPr>
      <w:r w:rsidRPr="00555114">
        <w:rPr>
          <w:rFonts w:asciiTheme="majorHAnsi" w:eastAsiaTheme="minorHAnsi" w:hAnsiTheme="majorHAnsi" w:cstheme="majorHAnsi"/>
          <w:sz w:val="20"/>
          <w:szCs w:val="20"/>
        </w:rPr>
        <w:t xml:space="preserve">The </w:t>
      </w:r>
      <w:r w:rsidRPr="00555114">
        <w:rPr>
          <w:rFonts w:asciiTheme="majorHAnsi" w:eastAsiaTheme="minorHAnsi" w:hAnsiTheme="majorHAnsi" w:cstheme="majorHAnsi"/>
          <w:sz w:val="20"/>
          <w:szCs w:val="20"/>
        </w:rPr>
        <w:t xml:space="preserve">UIL </w:t>
      </w:r>
      <w:r w:rsidRPr="00555114">
        <w:rPr>
          <w:rFonts w:asciiTheme="majorHAnsi" w:eastAsiaTheme="minorHAnsi" w:hAnsiTheme="majorHAnsi" w:cstheme="majorHAnsi"/>
          <w:sz w:val="20"/>
          <w:szCs w:val="20"/>
        </w:rPr>
        <w:t xml:space="preserve">idea builds on the observation that </w:t>
      </w:r>
      <w:proofErr w:type="gramStart"/>
      <w:r w:rsidRPr="00555114">
        <w:rPr>
          <w:rFonts w:asciiTheme="majorHAnsi" w:eastAsiaTheme="minorHAnsi" w:hAnsiTheme="majorHAnsi" w:cstheme="majorHAnsi"/>
          <w:sz w:val="20"/>
          <w:szCs w:val="20"/>
        </w:rPr>
        <w:t>a majority of</w:t>
      </w:r>
      <w:proofErr w:type="gramEnd"/>
      <w:r w:rsidRPr="00555114">
        <w:rPr>
          <w:rFonts w:asciiTheme="majorHAnsi" w:eastAsiaTheme="minorHAnsi" w:hAnsiTheme="majorHAnsi" w:cstheme="majorHAnsi"/>
          <w:sz w:val="20"/>
          <w:szCs w:val="20"/>
        </w:rPr>
        <w:t xml:space="preserve"> human users show willingness to shape their service demands in space/time if they recognize some benefit </w:t>
      </w:r>
      <w:r w:rsidRPr="00555114">
        <w:rPr>
          <w:rFonts w:asciiTheme="majorHAnsi" w:eastAsiaTheme="minorHAnsi" w:hAnsiTheme="majorHAnsi" w:cstheme="majorHAnsi"/>
          <w:sz w:val="20"/>
          <w:szCs w:val="20"/>
        </w:rPr>
        <w:t>associated with such behavior</w:t>
      </w:r>
      <w:r w:rsidRPr="00555114">
        <w:rPr>
          <w:rFonts w:asciiTheme="majorHAnsi" w:eastAsiaTheme="minorHAnsi" w:hAnsiTheme="majorHAnsi" w:cstheme="majorHAnsi"/>
          <w:sz w:val="20"/>
          <w:szCs w:val="20"/>
        </w:rPr>
        <w:t xml:space="preserve">. For example, a </w:t>
      </w:r>
      <w:r w:rsidRPr="00555114">
        <w:rPr>
          <w:rFonts w:asciiTheme="majorHAnsi" w:eastAsiaTheme="minorHAnsi" w:hAnsiTheme="majorHAnsi" w:cstheme="majorHAnsi"/>
          <w:sz w:val="20"/>
          <w:szCs w:val="20"/>
        </w:rPr>
        <w:t>behavioral survey reported in [8</w:t>
      </w:r>
      <w:r w:rsidRPr="00555114">
        <w:rPr>
          <w:rFonts w:asciiTheme="majorHAnsi" w:eastAsiaTheme="minorHAnsi" w:hAnsiTheme="majorHAnsi" w:cstheme="majorHAnsi"/>
          <w:sz w:val="20"/>
          <w:szCs w:val="20"/>
        </w:rPr>
        <w:t>] indicates that more than 50% of mobile users are willing to move around 40 m in indoor or outdoor environments provided they receive a level of discount in the order of 20%-40% on regular charges of certain services. A related trend suggests that some users – typically belonging to the same social group -- take part in distributed device-to-device (D2D) caching technology based video content distribution as long as security co</w:t>
      </w:r>
      <w:r w:rsidRPr="00555114">
        <w:rPr>
          <w:rFonts w:asciiTheme="majorHAnsi" w:eastAsiaTheme="minorHAnsi" w:hAnsiTheme="majorHAnsi" w:cstheme="majorHAnsi"/>
          <w:sz w:val="20"/>
          <w:szCs w:val="20"/>
        </w:rPr>
        <w:t>ncerns are properly addressed [9</w:t>
      </w:r>
      <w:r w:rsidRPr="00555114">
        <w:rPr>
          <w:rFonts w:asciiTheme="majorHAnsi" w:eastAsiaTheme="minorHAnsi" w:hAnsiTheme="majorHAnsi" w:cstheme="majorHAnsi"/>
          <w:sz w:val="20"/>
          <w:szCs w:val="20"/>
        </w:rPr>
        <w:t>].</w:t>
      </w:r>
    </w:p>
    <w:p w:rsidR="00ED7E08" w:rsidRPr="00555114" w:rsidRDefault="00046F23" w:rsidP="00ED7E08">
      <w:pPr>
        <w:pStyle w:val="NormalWeb"/>
        <w:rPr>
          <w:rFonts w:asciiTheme="majorHAnsi" w:eastAsiaTheme="minorHAnsi" w:hAnsiTheme="majorHAnsi" w:cstheme="majorHAnsi"/>
          <w:sz w:val="20"/>
          <w:szCs w:val="20"/>
        </w:rPr>
      </w:pPr>
      <w:r w:rsidRPr="00555114">
        <w:rPr>
          <w:rFonts w:asciiTheme="majorHAnsi" w:eastAsiaTheme="minorHAnsi" w:hAnsiTheme="majorHAnsi" w:cstheme="majorHAnsi"/>
          <w:sz w:val="20"/>
          <w:szCs w:val="20"/>
        </w:rPr>
        <w:t>The UIS</w:t>
      </w:r>
      <w:r w:rsidR="00ED7E08" w:rsidRPr="00555114">
        <w:rPr>
          <w:rFonts w:asciiTheme="majorHAnsi" w:eastAsiaTheme="minorHAnsi" w:hAnsiTheme="majorHAnsi" w:cstheme="majorHAnsi"/>
          <w:sz w:val="20"/>
          <w:szCs w:val="20"/>
        </w:rPr>
        <w:t xml:space="preserve"> idea </w:t>
      </w:r>
      <w:r w:rsidR="00555114" w:rsidRPr="00555114">
        <w:rPr>
          <w:rFonts w:asciiTheme="majorHAnsi" w:eastAsiaTheme="minorHAnsi" w:hAnsiTheme="majorHAnsi" w:cstheme="majorHAnsi"/>
          <w:sz w:val="20"/>
          <w:szCs w:val="20"/>
        </w:rPr>
        <w:t xml:space="preserve">of the BUSE model </w:t>
      </w:r>
      <w:r w:rsidRPr="00555114">
        <w:rPr>
          <w:rFonts w:asciiTheme="majorHAnsi" w:eastAsiaTheme="minorHAnsi" w:hAnsiTheme="majorHAnsi" w:cstheme="majorHAnsi"/>
          <w:sz w:val="20"/>
          <w:szCs w:val="20"/>
        </w:rPr>
        <w:t xml:space="preserve">expands the UIL concept </w:t>
      </w:r>
      <w:r w:rsidR="00ED7E08" w:rsidRPr="00555114">
        <w:rPr>
          <w:rFonts w:asciiTheme="majorHAnsi" w:eastAsiaTheme="minorHAnsi" w:hAnsiTheme="majorHAnsi" w:cstheme="majorHAnsi"/>
          <w:sz w:val="20"/>
          <w:szCs w:val="20"/>
        </w:rPr>
        <w:t xml:space="preserve">and </w:t>
      </w:r>
      <w:r w:rsidR="00555114" w:rsidRPr="00555114">
        <w:rPr>
          <w:rFonts w:asciiTheme="majorHAnsi" w:eastAsiaTheme="minorHAnsi" w:hAnsiTheme="majorHAnsi" w:cstheme="majorHAnsi"/>
          <w:sz w:val="20"/>
          <w:szCs w:val="20"/>
        </w:rPr>
        <w:t>suggests</w:t>
      </w:r>
      <w:r w:rsidR="00ED7E08" w:rsidRPr="00555114">
        <w:rPr>
          <w:rFonts w:asciiTheme="majorHAnsi" w:eastAsiaTheme="minorHAnsi" w:hAnsiTheme="majorHAnsi" w:cstheme="majorHAnsi"/>
          <w:sz w:val="20"/>
          <w:szCs w:val="20"/>
        </w:rPr>
        <w:t xml:space="preserve"> involving users of advanced smart mobile devices in the cellular infrastructure and provisioning of broadband wireless services, including video content distribution, D2D based relaying, temporal/spatial demand shaping and social proximity services. While in the UIL model the </w:t>
      </w:r>
      <w:proofErr w:type="gramStart"/>
      <w:r w:rsidR="00ED7E08" w:rsidRPr="00555114">
        <w:rPr>
          <w:rFonts w:asciiTheme="majorHAnsi" w:eastAsiaTheme="minorHAnsi" w:hAnsiTheme="majorHAnsi" w:cstheme="majorHAnsi"/>
          <w:sz w:val="20"/>
          <w:szCs w:val="20"/>
        </w:rPr>
        <w:t>user</w:t>
      </w:r>
      <w:proofErr w:type="gramEnd"/>
      <w:r w:rsidR="00ED7E08" w:rsidRPr="00555114">
        <w:rPr>
          <w:rFonts w:asciiTheme="majorHAnsi" w:eastAsiaTheme="minorHAnsi" w:hAnsiTheme="majorHAnsi" w:cstheme="majorHAnsi"/>
          <w:sz w:val="20"/>
          <w:szCs w:val="20"/>
        </w:rPr>
        <w:t xml:space="preserve"> devices are considered as receivers of services, the BUSE model allows for </w:t>
      </w:r>
      <w:r w:rsidR="00555114" w:rsidRPr="00555114">
        <w:rPr>
          <w:rFonts w:asciiTheme="majorHAnsi" w:eastAsiaTheme="minorHAnsi" w:hAnsiTheme="majorHAnsi" w:cstheme="majorHAnsi"/>
          <w:sz w:val="20"/>
          <w:szCs w:val="20"/>
        </w:rPr>
        <w:t xml:space="preserve">and incentives </w:t>
      </w:r>
      <w:r w:rsidR="00ED7E08" w:rsidRPr="00555114">
        <w:rPr>
          <w:rFonts w:asciiTheme="majorHAnsi" w:eastAsiaTheme="minorHAnsi" w:hAnsiTheme="majorHAnsi" w:cstheme="majorHAnsi"/>
          <w:sz w:val="20"/>
          <w:szCs w:val="20"/>
        </w:rPr>
        <w:t>users getting involved in wireless service provisioning and/or becoming part of the wireless infrastructure. In the future, such new cooperation between users and network operators can be feasible on various carrier frequencies such as the “Innovation Band” or higher frequency bands as well as on entirely network controlled cellular frequencies using network assisted D2D communications. That is</w:t>
      </w:r>
      <w:r w:rsidR="00555114" w:rsidRPr="00555114">
        <w:rPr>
          <w:rFonts w:asciiTheme="majorHAnsi" w:eastAsiaTheme="minorHAnsi" w:hAnsiTheme="majorHAnsi" w:cstheme="majorHAnsi"/>
          <w:sz w:val="20"/>
          <w:szCs w:val="20"/>
        </w:rPr>
        <w:t>,</w:t>
      </w:r>
      <w:r w:rsidR="00ED7E08" w:rsidRPr="00555114">
        <w:rPr>
          <w:rFonts w:asciiTheme="majorHAnsi" w:eastAsiaTheme="minorHAnsi" w:hAnsiTheme="majorHAnsi" w:cstheme="majorHAnsi"/>
          <w:sz w:val="20"/>
          <w:szCs w:val="20"/>
        </w:rPr>
        <w:t xml:space="preserve"> BUSE treats the evolving wireless infrastructure, available spectrum and user devices as cooperating “ecosystem” </w:t>
      </w:r>
      <w:r w:rsidR="00555114" w:rsidRPr="00555114">
        <w:rPr>
          <w:rFonts w:asciiTheme="majorHAnsi" w:eastAsiaTheme="minorHAnsi" w:hAnsiTheme="majorHAnsi" w:cstheme="majorHAnsi"/>
          <w:sz w:val="20"/>
          <w:szCs w:val="20"/>
        </w:rPr>
        <w:t>by finding</w:t>
      </w:r>
      <w:r w:rsidR="00ED7E08" w:rsidRPr="00555114">
        <w:rPr>
          <w:rFonts w:asciiTheme="majorHAnsi" w:eastAsiaTheme="minorHAnsi" w:hAnsiTheme="majorHAnsi" w:cstheme="majorHAnsi"/>
          <w:sz w:val="20"/>
          <w:szCs w:val="20"/>
        </w:rPr>
        <w:t xml:space="preserve"> win-win points in this system.</w:t>
      </w:r>
    </w:p>
    <w:p w:rsidR="00ED7E08" w:rsidRPr="00555114" w:rsidRDefault="00555114" w:rsidP="00ED7E08">
      <w:pPr>
        <w:pStyle w:val="NormalWeb"/>
        <w:rPr>
          <w:rFonts w:asciiTheme="majorHAnsi" w:eastAsiaTheme="minorHAnsi" w:hAnsiTheme="majorHAnsi" w:cstheme="majorHAnsi"/>
          <w:sz w:val="20"/>
          <w:szCs w:val="20"/>
        </w:rPr>
      </w:pPr>
      <w:r w:rsidRPr="00555114">
        <w:rPr>
          <w:rFonts w:asciiTheme="majorHAnsi" w:eastAsiaTheme="minorHAnsi" w:hAnsiTheme="majorHAnsi" w:cstheme="majorHAnsi"/>
          <w:sz w:val="20"/>
          <w:szCs w:val="20"/>
        </w:rPr>
        <w:t>The UIS idea</w:t>
      </w:r>
      <w:r w:rsidR="00ED7E08" w:rsidRPr="00555114">
        <w:rPr>
          <w:rFonts w:asciiTheme="majorHAnsi" w:eastAsiaTheme="minorHAnsi" w:hAnsiTheme="majorHAnsi" w:cstheme="majorHAnsi"/>
          <w:sz w:val="20"/>
          <w:szCs w:val="20"/>
        </w:rPr>
        <w:t xml:space="preserve"> is motivated by the fact that mobile operators and service providers face the difficulties of meeting exponentially increasing </w:t>
      </w:r>
      <w:r w:rsidR="00ED7E08" w:rsidRPr="00555114">
        <w:rPr>
          <w:rFonts w:asciiTheme="majorHAnsi" w:eastAsiaTheme="minorHAnsi" w:hAnsiTheme="majorHAnsi" w:cstheme="majorHAnsi"/>
          <w:i/>
          <w:iCs/>
          <w:sz w:val="20"/>
          <w:szCs w:val="20"/>
        </w:rPr>
        <w:t>demands</w:t>
      </w:r>
      <w:r w:rsidR="00ED7E08" w:rsidRPr="00555114">
        <w:rPr>
          <w:rFonts w:asciiTheme="majorHAnsi" w:eastAsiaTheme="minorHAnsi" w:hAnsiTheme="majorHAnsi" w:cstheme="majorHAnsi"/>
          <w:sz w:val="20"/>
          <w:szCs w:val="20"/>
        </w:rPr>
        <w:t xml:space="preserve"> for broadband and content services which may exceed the </w:t>
      </w:r>
      <w:r w:rsidR="00ED7E08" w:rsidRPr="00555114">
        <w:rPr>
          <w:rFonts w:asciiTheme="majorHAnsi" w:eastAsiaTheme="minorHAnsi" w:hAnsiTheme="majorHAnsi" w:cstheme="majorHAnsi"/>
          <w:i/>
          <w:iCs/>
          <w:sz w:val="20"/>
          <w:szCs w:val="20"/>
        </w:rPr>
        <w:t>supply</w:t>
      </w:r>
      <w:r w:rsidR="00ED7E08" w:rsidRPr="00555114">
        <w:rPr>
          <w:rFonts w:asciiTheme="majorHAnsi" w:eastAsiaTheme="minorHAnsi" w:hAnsiTheme="majorHAnsi" w:cstheme="majorHAnsi"/>
          <w:sz w:val="20"/>
          <w:szCs w:val="20"/>
        </w:rPr>
        <w:t xml:space="preserve"> at some locations and during some periods of time. At the same time, the increasing capabilities of user owned and operated devices in terms of storage capacity, processing power and wireless physical layer capabilities, including multiple antennas, enable such devices to contribute to the service experience of peer wireless devices owned either by the same user or peer users. For example, an advanced cellular device (phone) may easily serve as a semi-static relay node or wireless router in a home or small office environment towards a 5G cellular network</w:t>
      </w:r>
      <w:r>
        <w:rPr>
          <w:rFonts w:asciiTheme="majorHAnsi" w:eastAsiaTheme="minorHAnsi" w:hAnsiTheme="majorHAnsi" w:cstheme="majorHAnsi"/>
          <w:sz w:val="20"/>
          <w:szCs w:val="20"/>
        </w:rPr>
        <w:t xml:space="preserve"> [4]</w:t>
      </w:r>
      <w:r w:rsidR="00ED7E08" w:rsidRPr="00555114">
        <w:rPr>
          <w:rFonts w:asciiTheme="majorHAnsi" w:eastAsiaTheme="minorHAnsi" w:hAnsiTheme="majorHAnsi" w:cstheme="majorHAnsi"/>
          <w:sz w:val="20"/>
          <w:szCs w:val="20"/>
        </w:rPr>
        <w:t>.</w:t>
      </w:r>
    </w:p>
    <w:p w:rsidR="00107F3A" w:rsidRPr="00555114" w:rsidRDefault="00107F3A" w:rsidP="00332FB0">
      <w:pPr>
        <w:autoSpaceDE w:val="0"/>
        <w:autoSpaceDN w:val="0"/>
        <w:adjustRightInd w:val="0"/>
        <w:rPr>
          <w:rFonts w:asciiTheme="majorHAnsi" w:hAnsiTheme="majorHAnsi" w:cstheme="majorHAnsi"/>
          <w:lang w:val="en-US"/>
        </w:rPr>
      </w:pPr>
    </w:p>
    <w:p w:rsidR="009B6C37" w:rsidRPr="00555114" w:rsidRDefault="009B6C37">
      <w:pPr>
        <w:autoSpaceDE w:val="0"/>
        <w:autoSpaceDN w:val="0"/>
        <w:adjustRightInd w:val="0"/>
        <w:rPr>
          <w:rFonts w:asciiTheme="majorHAnsi" w:hAnsiTheme="majorHAnsi" w:cstheme="majorHAnsi"/>
          <w:lang w:val="en-US"/>
        </w:rPr>
      </w:pPr>
    </w:p>
    <w:p w:rsidR="00122CEC" w:rsidRPr="00555114" w:rsidRDefault="00FB647C" w:rsidP="00122CEC">
      <w:pPr>
        <w:pStyle w:val="Heading1"/>
        <w:rPr>
          <w:rFonts w:cstheme="majorHAnsi"/>
          <w:sz w:val="20"/>
          <w:szCs w:val="20"/>
          <w:u w:val="single"/>
          <w:lang w:val="en-US"/>
        </w:rPr>
      </w:pPr>
      <w:r w:rsidRPr="00555114">
        <w:rPr>
          <w:rFonts w:cstheme="majorHAnsi"/>
          <w:sz w:val="20"/>
          <w:szCs w:val="20"/>
          <w:u w:val="single"/>
          <w:lang w:val="en-US"/>
        </w:rPr>
        <w:lastRenderedPageBreak/>
        <w:t>Results and Engineering Insights</w:t>
      </w:r>
    </w:p>
    <w:p w:rsidR="008B1486" w:rsidRDefault="00555114" w:rsidP="00107F3A">
      <w:pPr>
        <w:pStyle w:val="BodyText"/>
        <w:rPr>
          <w:rFonts w:asciiTheme="majorHAnsi" w:hAnsiTheme="majorHAnsi" w:cstheme="majorHAnsi"/>
          <w:lang w:val="en-US"/>
        </w:rPr>
      </w:pPr>
      <w:r>
        <w:rPr>
          <w:rFonts w:asciiTheme="majorHAnsi" w:hAnsiTheme="majorHAnsi" w:cstheme="majorHAnsi"/>
          <w:lang w:val="en-US"/>
        </w:rPr>
        <w:t>The contributions of the BUSE project are two-fold</w:t>
      </w:r>
      <w:r w:rsidR="008B1486">
        <w:rPr>
          <w:rFonts w:asciiTheme="majorHAnsi" w:hAnsiTheme="majorHAnsi" w:cstheme="majorHAnsi"/>
          <w:lang w:val="en-US"/>
        </w:rPr>
        <w:t>, that correspond to the two layers</w:t>
      </w:r>
      <w:r w:rsidR="00406519">
        <w:rPr>
          <w:rFonts w:asciiTheme="majorHAnsi" w:hAnsiTheme="majorHAnsi" w:cstheme="majorHAnsi"/>
          <w:lang w:val="en-US"/>
        </w:rPr>
        <w:t xml:space="preserve"> – the sociality and the technology realms --</w:t>
      </w:r>
      <w:r w:rsidR="008B1486">
        <w:rPr>
          <w:rFonts w:asciiTheme="majorHAnsi" w:hAnsiTheme="majorHAnsi" w:cstheme="majorHAnsi"/>
          <w:lang w:val="en-US"/>
        </w:rPr>
        <w:t xml:space="preserve"> addressed by the project</w:t>
      </w:r>
      <w:r>
        <w:rPr>
          <w:rFonts w:asciiTheme="majorHAnsi" w:hAnsiTheme="majorHAnsi" w:cstheme="majorHAnsi"/>
          <w:lang w:val="en-US"/>
        </w:rPr>
        <w:t xml:space="preserve">. </w:t>
      </w:r>
      <w:r w:rsidR="008B1486">
        <w:rPr>
          <w:rFonts w:asciiTheme="majorHAnsi" w:hAnsiTheme="majorHAnsi" w:cstheme="majorHAnsi"/>
          <w:lang w:val="en-US"/>
        </w:rPr>
        <w:t>In the BUSE model, the social ties between users reinforced and shaped by human relations, such as friendship, professional or busi</w:t>
      </w:r>
      <w:r w:rsidR="00406519">
        <w:rPr>
          <w:rFonts w:asciiTheme="majorHAnsi" w:hAnsiTheme="majorHAnsi" w:cstheme="majorHAnsi"/>
          <w:lang w:val="en-US"/>
        </w:rPr>
        <w:t xml:space="preserve">ness relations and </w:t>
      </w:r>
      <w:r w:rsidR="008B1486">
        <w:rPr>
          <w:rFonts w:asciiTheme="majorHAnsi" w:hAnsiTheme="majorHAnsi" w:cstheme="majorHAnsi"/>
          <w:lang w:val="en-US"/>
        </w:rPr>
        <w:t>common interest interact with the underlying technology layer. This lower – technology – layer enables user</w:t>
      </w:r>
      <w:r w:rsidR="00406519">
        <w:rPr>
          <w:rFonts w:asciiTheme="majorHAnsi" w:hAnsiTheme="majorHAnsi" w:cstheme="majorHAnsi"/>
          <w:lang w:val="en-US"/>
        </w:rPr>
        <w:t>s</w:t>
      </w:r>
      <w:r w:rsidR="008B1486">
        <w:rPr>
          <w:rFonts w:asciiTheme="majorHAnsi" w:hAnsiTheme="majorHAnsi" w:cstheme="majorHAnsi"/>
          <w:lang w:val="en-US"/>
        </w:rPr>
        <w:t xml:space="preserve"> to discover one another by energy efficient </w:t>
      </w:r>
      <w:r w:rsidR="00406519">
        <w:rPr>
          <w:rFonts w:asciiTheme="majorHAnsi" w:hAnsiTheme="majorHAnsi" w:cstheme="majorHAnsi"/>
          <w:lang w:val="en-US"/>
        </w:rPr>
        <w:t xml:space="preserve">and social aware </w:t>
      </w:r>
      <w:r w:rsidR="008B1486">
        <w:rPr>
          <w:rFonts w:asciiTheme="majorHAnsi" w:hAnsiTheme="majorHAnsi" w:cstheme="majorHAnsi"/>
          <w:lang w:val="en-US"/>
        </w:rPr>
        <w:t xml:space="preserve">D2D discovery </w:t>
      </w:r>
      <w:r w:rsidR="00406519">
        <w:rPr>
          <w:rFonts w:asciiTheme="majorHAnsi" w:hAnsiTheme="majorHAnsi" w:cstheme="majorHAnsi"/>
          <w:lang w:val="en-US"/>
        </w:rPr>
        <w:t>procedures and</w:t>
      </w:r>
      <w:r w:rsidR="008B1486">
        <w:rPr>
          <w:rFonts w:asciiTheme="majorHAnsi" w:hAnsiTheme="majorHAnsi" w:cstheme="majorHAnsi"/>
          <w:lang w:val="en-US"/>
        </w:rPr>
        <w:t xml:space="preserve"> to share storage, processing or battery resources</w:t>
      </w:r>
      <w:r w:rsidR="00406519">
        <w:rPr>
          <w:rFonts w:asciiTheme="majorHAnsi" w:hAnsiTheme="majorHAnsi" w:cstheme="majorHAnsi"/>
          <w:lang w:val="en-US"/>
        </w:rPr>
        <w:t>.</w:t>
      </w:r>
      <w:r w:rsidR="008B1486">
        <w:rPr>
          <w:rFonts w:asciiTheme="majorHAnsi" w:hAnsiTheme="majorHAnsi" w:cstheme="majorHAnsi"/>
          <w:lang w:val="en-US"/>
        </w:rPr>
        <w:t xml:space="preserve"> </w:t>
      </w:r>
      <w:r w:rsidR="00406519">
        <w:rPr>
          <w:rFonts w:asciiTheme="majorHAnsi" w:hAnsiTheme="majorHAnsi" w:cstheme="majorHAnsi"/>
          <w:lang w:val="en-US"/>
        </w:rPr>
        <w:t xml:space="preserve">The discovery procedure and the subsequent engagement in </w:t>
      </w:r>
      <w:proofErr w:type="gramStart"/>
      <w:r w:rsidR="00406519">
        <w:rPr>
          <w:rFonts w:asciiTheme="majorHAnsi" w:hAnsiTheme="majorHAnsi" w:cstheme="majorHAnsi"/>
          <w:lang w:val="en-US"/>
        </w:rPr>
        <w:t>helping out</w:t>
      </w:r>
      <w:proofErr w:type="gramEnd"/>
      <w:r w:rsidR="00406519">
        <w:rPr>
          <w:rFonts w:asciiTheme="majorHAnsi" w:hAnsiTheme="majorHAnsi" w:cstheme="majorHAnsi"/>
          <w:lang w:val="en-US"/>
        </w:rPr>
        <w:t xml:space="preserve"> each other depends</w:t>
      </w:r>
      <w:r w:rsidR="008B1486">
        <w:rPr>
          <w:rFonts w:asciiTheme="majorHAnsi" w:hAnsiTheme="majorHAnsi" w:cstheme="majorHAnsi"/>
          <w:lang w:val="en-US"/>
        </w:rPr>
        <w:t xml:space="preserve"> on the social ties in the upper layer and other incentives provided by the cellular operator. Indeed, due to the existing infrastructure, spectrum ownership and customer base, the operator is in the unique position of creating such incentives for the mutual short or long-term benefits of the mobile network operator and the end users. Thus, the first contribution of BUSE is our proposed model and performance analysis of bridging these two layers representing the technology and sociality realms</w:t>
      </w:r>
      <w:r w:rsidR="00406519">
        <w:rPr>
          <w:rFonts w:asciiTheme="majorHAnsi" w:hAnsiTheme="majorHAnsi" w:cstheme="majorHAnsi"/>
          <w:lang w:val="en-US"/>
        </w:rPr>
        <w:t xml:space="preserve"> [1]</w:t>
      </w:r>
      <w:r w:rsidR="008B1486">
        <w:rPr>
          <w:rFonts w:asciiTheme="majorHAnsi" w:hAnsiTheme="majorHAnsi" w:cstheme="majorHAnsi"/>
          <w:lang w:val="en-US"/>
        </w:rPr>
        <w:t xml:space="preserve">. </w:t>
      </w:r>
    </w:p>
    <w:p w:rsidR="00107F3A" w:rsidRDefault="00406519" w:rsidP="00107F3A">
      <w:pPr>
        <w:pStyle w:val="BodyText"/>
        <w:rPr>
          <w:rFonts w:asciiTheme="majorHAnsi" w:hAnsiTheme="majorHAnsi" w:cstheme="majorHAnsi"/>
          <w:lang w:val="en-US"/>
        </w:rPr>
      </w:pPr>
      <w:r>
        <w:rPr>
          <w:rFonts w:asciiTheme="majorHAnsi" w:hAnsiTheme="majorHAnsi" w:cstheme="majorHAnsi"/>
          <w:lang w:val="en-US"/>
        </w:rPr>
        <w:t xml:space="preserve">On the higher layer of BUSE – the sociality realm – we found that it is useful to distinguish between five types of human user relationships and relate them to typology (whether the relationship is user-driven or device-driven) and an associated trust level (see Table 1). The trust level can be captured by the abstract notion of trust value, which is modeled in BUSE as a real scalar number between 0 and 1. We believe that in refined models by follow up activities of the seed project BUSE finer grained models of trust can be developed. </w:t>
      </w:r>
    </w:p>
    <w:p w:rsidR="00406519" w:rsidRPr="00580B6F" w:rsidRDefault="00580B6F" w:rsidP="00580B6F">
      <w:pPr>
        <w:pStyle w:val="BodyText"/>
        <w:jc w:val="center"/>
        <w:rPr>
          <w:rFonts w:asciiTheme="majorHAnsi" w:hAnsiTheme="majorHAnsi" w:cstheme="majorHAnsi"/>
          <w:b/>
          <w:sz w:val="18"/>
          <w:lang w:val="en-US"/>
        </w:rPr>
      </w:pPr>
      <w:r w:rsidRPr="00580B6F">
        <w:rPr>
          <w:rFonts w:asciiTheme="majorHAnsi" w:hAnsiTheme="majorHAnsi" w:cstheme="majorHAnsi"/>
          <w:b/>
          <w:sz w:val="18"/>
          <w:lang w:val="en-US"/>
        </w:rPr>
        <w:t>Table I: Social relationship factors between devices, possible applications and the associated trust va</w:t>
      </w:r>
      <w:r>
        <w:rPr>
          <w:rFonts w:asciiTheme="majorHAnsi" w:hAnsiTheme="majorHAnsi" w:cstheme="majorHAnsi"/>
          <w:b/>
          <w:sz w:val="18"/>
          <w:lang w:val="en-US"/>
        </w:rPr>
        <w:t>l</w:t>
      </w:r>
      <w:r w:rsidRPr="00580B6F">
        <w:rPr>
          <w:rFonts w:asciiTheme="majorHAnsi" w:hAnsiTheme="majorHAnsi" w:cstheme="majorHAnsi"/>
          <w:b/>
          <w:sz w:val="18"/>
          <w:lang w:val="en-US"/>
        </w:rPr>
        <w:t>ue</w:t>
      </w:r>
    </w:p>
    <w:p w:rsidR="00406519" w:rsidRDefault="00406519" w:rsidP="00580B6F">
      <w:pPr>
        <w:pStyle w:val="BodyText"/>
        <w:jc w:val="center"/>
        <w:rPr>
          <w:rFonts w:asciiTheme="majorHAnsi" w:hAnsiTheme="majorHAnsi" w:cstheme="majorHAnsi"/>
          <w:lang w:val="en-US"/>
        </w:rPr>
      </w:pPr>
      <w:r w:rsidRPr="00406519">
        <w:drawing>
          <wp:inline distT="0" distB="0" distL="0" distR="0" wp14:anchorId="1D7FCC10" wp14:editId="4190C299">
            <wp:extent cx="5796280" cy="20872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96280" cy="2087245"/>
                    </a:xfrm>
                    <a:prstGeom prst="rect">
                      <a:avLst/>
                    </a:prstGeom>
                  </pic:spPr>
                </pic:pic>
              </a:graphicData>
            </a:graphic>
          </wp:inline>
        </w:drawing>
      </w:r>
    </w:p>
    <w:p w:rsidR="00406519" w:rsidRDefault="00580B6F" w:rsidP="00107F3A">
      <w:pPr>
        <w:pStyle w:val="BodyText"/>
        <w:rPr>
          <w:rFonts w:asciiTheme="majorHAnsi" w:hAnsiTheme="majorHAnsi" w:cstheme="majorHAnsi"/>
          <w:lang w:val="en-US"/>
        </w:rPr>
      </w:pPr>
      <w:r>
        <w:rPr>
          <w:rFonts w:asciiTheme="majorHAnsi" w:hAnsiTheme="majorHAnsi" w:cstheme="majorHAnsi"/>
          <w:lang w:val="en-US"/>
        </w:rPr>
        <w:t>To understand and quantify the impact of the sociality layer, BUSE developed a coalition game model, in which players utilize various D2D technology enablers that operate at the radio resource management and the physical layers to form coalitions whose stability depend on the social ties (as in Table I) in the social layer. The coalition game model, although built on some abstractions that can be refined and improved in future works, allowed us to analyze the network throughput using a realistic system simulator (Figure 1). Indeed, this figure indicates that higher level of trust and social ties between users can significantly increase the aggregate effective throughput.</w:t>
      </w:r>
    </w:p>
    <w:p w:rsidR="00580B6F" w:rsidRPr="00580B6F" w:rsidRDefault="00580B6F" w:rsidP="00580B6F">
      <w:pPr>
        <w:pStyle w:val="BodyText"/>
        <w:jc w:val="center"/>
        <w:rPr>
          <w:rFonts w:asciiTheme="majorHAnsi" w:hAnsiTheme="majorHAnsi" w:cstheme="majorHAnsi"/>
          <w:i/>
          <w:lang w:val="en-US"/>
        </w:rPr>
      </w:pPr>
      <w:r w:rsidRPr="00580B6F">
        <w:lastRenderedPageBreak/>
        <w:drawing>
          <wp:inline distT="0" distB="0" distL="0" distR="0" wp14:anchorId="30C5AE4C" wp14:editId="77042288">
            <wp:extent cx="3844216" cy="2697428"/>
            <wp:effectExtent l="0" t="0" r="444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44216" cy="2697428"/>
                    </a:xfrm>
                    <a:prstGeom prst="rect">
                      <a:avLst/>
                    </a:prstGeom>
                  </pic:spPr>
                </pic:pic>
              </a:graphicData>
            </a:graphic>
          </wp:inline>
        </w:drawing>
      </w:r>
      <w:r>
        <w:rPr>
          <w:rFonts w:asciiTheme="majorHAnsi" w:hAnsiTheme="majorHAnsi" w:cstheme="majorHAnsi"/>
          <w:lang w:val="en-US"/>
        </w:rPr>
        <w:br/>
      </w:r>
      <w:r w:rsidRPr="00580B6F">
        <w:rPr>
          <w:rFonts w:asciiTheme="majorHAnsi" w:hAnsiTheme="majorHAnsi" w:cstheme="majorHAnsi"/>
          <w:i/>
          <w:lang w:val="en-US"/>
        </w:rPr>
        <w:t xml:space="preserve">Figure 1: </w:t>
      </w:r>
      <w:r>
        <w:rPr>
          <w:rFonts w:asciiTheme="majorHAnsi" w:hAnsiTheme="majorHAnsi" w:cstheme="majorHAnsi"/>
          <w:i/>
          <w:lang w:val="en-US"/>
        </w:rPr>
        <w:t>Social-aware D2D communication can significantly increase the aggregate throughput of a cellular network that does not support D2D communication or where D2D communication is supported without exploiting social awareness</w:t>
      </w:r>
      <w:r w:rsidR="001709FB">
        <w:rPr>
          <w:rFonts w:asciiTheme="majorHAnsi" w:hAnsiTheme="majorHAnsi" w:cstheme="majorHAnsi"/>
          <w:i/>
          <w:lang w:val="en-US"/>
        </w:rPr>
        <w:t xml:space="preserve"> [1]</w:t>
      </w:r>
      <w:r>
        <w:rPr>
          <w:rFonts w:asciiTheme="majorHAnsi" w:hAnsiTheme="majorHAnsi" w:cstheme="majorHAnsi"/>
          <w:i/>
          <w:lang w:val="en-US"/>
        </w:rPr>
        <w:t xml:space="preserve">. </w:t>
      </w:r>
    </w:p>
    <w:p w:rsidR="00580B6F" w:rsidRPr="00555114" w:rsidRDefault="001709FB" w:rsidP="00107F3A">
      <w:pPr>
        <w:pStyle w:val="BodyText"/>
        <w:rPr>
          <w:rFonts w:asciiTheme="majorHAnsi" w:hAnsiTheme="majorHAnsi" w:cstheme="majorHAnsi"/>
          <w:lang w:val="en-US"/>
        </w:rPr>
      </w:pPr>
      <w:r>
        <w:rPr>
          <w:rFonts w:asciiTheme="majorHAnsi" w:hAnsiTheme="majorHAnsi" w:cstheme="majorHAnsi"/>
          <w:lang w:val="en-US"/>
        </w:rPr>
        <w:t xml:space="preserve">It is important to point out that the underlying technology layer plays an important role in reinforcing and supporting the user demands that can increase due to trust and social relations. Indeed, socially close user tend to communicate more, share more content, and help one another in case some users are at the cell edge or out-of-coverage of the cellular infrastructure. Therefore, we also identified and analyzed some key technology enablers in the technology realm of the BUSE model [2-5]. Among these, we found that directional communications (enabled by the evolving multi-antenna capabilities of contemporary and future user equipment) helps to efficiently utilize the spectrum by allowing very tight frequency reuse schemes within the cells of cellular systems [3]. Also, full duplex communication has the potential of further improving the spectral efficiency and system capacity in hot spots, in which users </w:t>
      </w:r>
      <w:r w:rsidR="00355D93">
        <w:rPr>
          <w:rFonts w:asciiTheme="majorHAnsi" w:hAnsiTheme="majorHAnsi" w:cstheme="majorHAnsi"/>
          <w:lang w:val="en-US"/>
        </w:rPr>
        <w:t xml:space="preserve">use both D2D and cellular communication links [2], [4]. </w:t>
      </w:r>
    </w:p>
    <w:p w:rsidR="00107F3A" w:rsidRPr="00555114" w:rsidRDefault="00555114" w:rsidP="00FB647C">
      <w:pPr>
        <w:pStyle w:val="Heading1"/>
        <w:rPr>
          <w:rFonts w:cstheme="majorHAnsi"/>
          <w:sz w:val="20"/>
          <w:szCs w:val="20"/>
          <w:u w:val="single"/>
          <w:lang w:val="en-US"/>
        </w:rPr>
      </w:pPr>
      <w:r>
        <w:rPr>
          <w:rFonts w:cstheme="majorHAnsi"/>
          <w:sz w:val="20"/>
          <w:szCs w:val="20"/>
          <w:u w:val="single"/>
          <w:lang w:val="en-US"/>
        </w:rPr>
        <w:t xml:space="preserve">BUSE </w:t>
      </w:r>
      <w:r w:rsidR="00FB647C" w:rsidRPr="00555114">
        <w:rPr>
          <w:rFonts w:cstheme="majorHAnsi"/>
          <w:sz w:val="20"/>
          <w:szCs w:val="20"/>
          <w:u w:val="single"/>
          <w:lang w:val="en-US"/>
        </w:rPr>
        <w:t>Next Steps</w:t>
      </w:r>
      <w:r>
        <w:rPr>
          <w:rFonts w:cstheme="majorHAnsi"/>
          <w:sz w:val="20"/>
          <w:szCs w:val="20"/>
          <w:u w:val="single"/>
          <w:lang w:val="en-US"/>
        </w:rPr>
        <w:t>: Beyond User in the Service</w:t>
      </w:r>
    </w:p>
    <w:p w:rsidR="004C5387" w:rsidRPr="00555114" w:rsidRDefault="00355D93" w:rsidP="00332FB0">
      <w:pPr>
        <w:pStyle w:val="BodyText"/>
        <w:rPr>
          <w:rFonts w:asciiTheme="majorHAnsi" w:hAnsiTheme="majorHAnsi" w:cstheme="majorHAnsi"/>
          <w:lang w:val="en-US"/>
        </w:rPr>
      </w:pPr>
      <w:r>
        <w:rPr>
          <w:rFonts w:asciiTheme="majorHAnsi" w:hAnsiTheme="majorHAnsi" w:cstheme="majorHAnsi"/>
          <w:lang w:val="en-US"/>
        </w:rPr>
        <w:t xml:space="preserve">We believe that BUSE points at an emerging new global utility [6], in the sense that service providers, network operators and end users will tend to find win-win points of the mobile ecosystem. For example, it may be more cost efficient and ultimately offer a better long term utilization of the spectrum if end users, -- utilizing their social ties and trust relationship of different levels – become part of the cellular infrastructure and service provisioning. We call this concept “keeping people in the loop” [6], that can be elaborated and analyzed in future works. </w:t>
      </w:r>
      <w:bookmarkStart w:id="0" w:name="_GoBack"/>
      <w:bookmarkEnd w:id="0"/>
    </w:p>
    <w:p w:rsidR="00122CEC" w:rsidRPr="00555114" w:rsidRDefault="00122CEC" w:rsidP="00122CEC">
      <w:pPr>
        <w:pStyle w:val="Heading1"/>
        <w:rPr>
          <w:sz w:val="20"/>
          <w:szCs w:val="20"/>
          <w:u w:val="single"/>
          <w:lang w:val="en-US"/>
        </w:rPr>
      </w:pPr>
      <w:r w:rsidRPr="00555114">
        <w:rPr>
          <w:sz w:val="20"/>
          <w:szCs w:val="20"/>
          <w:u w:val="single"/>
          <w:lang w:val="en-US"/>
        </w:rPr>
        <w:t>References</w:t>
      </w:r>
    </w:p>
    <w:p w:rsidR="00136BAE" w:rsidRPr="00555114" w:rsidRDefault="00136BAE">
      <w:pPr>
        <w:pStyle w:val="List"/>
        <w:rPr>
          <w:color w:val="5893E6" w:themeColor="accent1" w:themeTint="99"/>
          <w:sz w:val="20"/>
        </w:rPr>
      </w:pPr>
      <w:bookmarkStart w:id="1" w:name="_Ref431887371"/>
      <w:bookmarkStart w:id="2" w:name="_Ref362106777"/>
      <w:bookmarkStart w:id="3" w:name="_Ref362165938"/>
      <w:bookmarkStart w:id="4" w:name="_Ref425969245"/>
      <w:bookmarkStart w:id="5" w:name="_Ref426700845"/>
      <w:bookmarkStart w:id="6" w:name="_Ref436141705"/>
      <w:r w:rsidRPr="00555114">
        <w:rPr>
          <w:sz w:val="20"/>
        </w:rPr>
        <w:t>A. Ometov, A. Orsino, L. Militano, D. Moltchanov. G. Araniti, E. Olshannikova, G. Fodor, S. Andreev, T. Olsson, A. Ier</w:t>
      </w:r>
      <w:r w:rsidRPr="00555114">
        <w:rPr>
          <w:sz w:val="20"/>
        </w:rPr>
        <w:t xml:space="preserve">a, J. Torsner, Y. Koucheryavy, </w:t>
      </w:r>
      <w:r w:rsidRPr="00555114">
        <w:rPr>
          <w:sz w:val="20"/>
        </w:rPr>
        <w:t>T. Mikkonen, "Towards</w:t>
      </w:r>
      <w:r w:rsidRPr="00555114">
        <w:rPr>
          <w:sz w:val="20"/>
        </w:rPr>
        <w:t xml:space="preserve"> </w:t>
      </w:r>
      <w:r w:rsidRPr="00555114">
        <w:rPr>
          <w:sz w:val="20"/>
        </w:rPr>
        <w:t>Trusted, Social-Aware D2D Connectivity: Bridging Across Te</w:t>
      </w:r>
      <w:r w:rsidRPr="00555114">
        <w:rPr>
          <w:sz w:val="20"/>
        </w:rPr>
        <w:t>chnology and Sociality Realms",</w:t>
      </w:r>
      <w:r w:rsidRPr="00555114">
        <w:rPr>
          <w:b/>
          <w:sz w:val="20"/>
        </w:rPr>
        <w:t xml:space="preserve"> </w:t>
      </w:r>
      <w:r w:rsidRPr="00555114">
        <w:rPr>
          <w:rStyle w:val="Strong"/>
          <w:b w:val="0"/>
          <w:i/>
          <w:sz w:val="20"/>
        </w:rPr>
        <w:t>IEEE Wireless Communications</w:t>
      </w:r>
      <w:r w:rsidRPr="00555114">
        <w:rPr>
          <w:b/>
          <w:sz w:val="20"/>
        </w:rPr>
        <w:t>,</w:t>
      </w:r>
      <w:r w:rsidRPr="00555114">
        <w:rPr>
          <w:sz w:val="20"/>
        </w:rPr>
        <w:t xml:space="preserve"> Vol. 3, Issue 4, pp. 103-111, </w:t>
      </w:r>
      <w:r w:rsidRPr="00555114">
        <w:rPr>
          <w:sz w:val="20"/>
        </w:rPr>
        <w:t>August 2016.</w:t>
      </w:r>
      <w:r w:rsidRPr="00555114">
        <w:rPr>
          <w:sz w:val="20"/>
        </w:rPr>
        <w:t xml:space="preserve"> </w:t>
      </w:r>
      <w:hyperlink r:id="rId10" w:history="1">
        <w:r w:rsidRPr="00555114">
          <w:rPr>
            <w:rStyle w:val="Hyperlink"/>
            <w:color w:val="5893E6" w:themeColor="accent1" w:themeTint="99"/>
            <w:sz w:val="20"/>
          </w:rPr>
          <w:t>[IEEE</w:t>
        </w:r>
        <w:r w:rsidRPr="00555114">
          <w:rPr>
            <w:rStyle w:val="Hyperlink"/>
            <w:color w:val="5893E6" w:themeColor="accent1" w:themeTint="99"/>
            <w:sz w:val="20"/>
          </w:rPr>
          <w:t xml:space="preserve"> </w:t>
        </w:r>
        <w:r w:rsidRPr="00555114">
          <w:rPr>
            <w:rStyle w:val="Hyperlink"/>
            <w:color w:val="5893E6" w:themeColor="accent1" w:themeTint="99"/>
            <w:sz w:val="20"/>
          </w:rPr>
          <w:t>X</w:t>
        </w:r>
        <w:r w:rsidRPr="00555114">
          <w:rPr>
            <w:rStyle w:val="Hyperlink"/>
            <w:color w:val="5893E6" w:themeColor="accent1" w:themeTint="99"/>
            <w:sz w:val="20"/>
          </w:rPr>
          <w:t>p</w:t>
        </w:r>
        <w:r w:rsidRPr="00555114">
          <w:rPr>
            <w:rStyle w:val="Hyperlink"/>
            <w:color w:val="5893E6" w:themeColor="accent1" w:themeTint="99"/>
            <w:sz w:val="20"/>
          </w:rPr>
          <w:t>lore]</w:t>
        </w:r>
      </w:hyperlink>
      <w:r w:rsidRPr="00555114">
        <w:rPr>
          <w:color w:val="5893E6" w:themeColor="accent1" w:themeTint="99"/>
          <w:sz w:val="20"/>
        </w:rPr>
        <w:t xml:space="preserve"> </w:t>
      </w:r>
      <w:hyperlink r:id="rId11" w:history="1">
        <w:r w:rsidRPr="00555114">
          <w:rPr>
            <w:rStyle w:val="Hyperlink"/>
            <w:color w:val="5893E6" w:themeColor="accent1" w:themeTint="99"/>
            <w:sz w:val="20"/>
          </w:rPr>
          <w:t>[Div</w:t>
        </w:r>
        <w:r w:rsidRPr="00555114">
          <w:rPr>
            <w:rStyle w:val="Hyperlink"/>
            <w:color w:val="5893E6" w:themeColor="accent1" w:themeTint="99"/>
            <w:sz w:val="20"/>
          </w:rPr>
          <w:t>a</w:t>
        </w:r>
        <w:r w:rsidRPr="00555114">
          <w:rPr>
            <w:rStyle w:val="Hyperlink"/>
            <w:color w:val="5893E6" w:themeColor="accent1" w:themeTint="99"/>
            <w:sz w:val="20"/>
          </w:rPr>
          <w:t>]</w:t>
        </w:r>
      </w:hyperlink>
    </w:p>
    <w:p w:rsidR="003D6D62" w:rsidRPr="00555114" w:rsidRDefault="00136BAE" w:rsidP="003D6D62">
      <w:pPr>
        <w:pStyle w:val="List"/>
        <w:rPr>
          <w:rStyle w:val="Hyperlink"/>
          <w:color w:val="5893E6" w:themeColor="accent1" w:themeTint="99"/>
          <w:sz w:val="20"/>
        </w:rPr>
      </w:pPr>
      <w:r w:rsidRPr="00555114">
        <w:rPr>
          <w:sz w:val="20"/>
        </w:rPr>
        <w:t>J. M. B. da Silva, G. Fodor and C. Fischione</w:t>
      </w:r>
      <w:r w:rsidR="003D6D62" w:rsidRPr="00555114">
        <w:rPr>
          <w:sz w:val="20"/>
        </w:rPr>
        <w:t>,” Spectral</w:t>
      </w:r>
      <w:r w:rsidRPr="00555114">
        <w:rPr>
          <w:sz w:val="20"/>
        </w:rPr>
        <w:t xml:space="preserve"> Efficient and Fair User Pairing </w:t>
      </w:r>
      <w:r w:rsidR="003D6D62" w:rsidRPr="00555114">
        <w:rPr>
          <w:sz w:val="20"/>
        </w:rPr>
        <w:t>for</w:t>
      </w:r>
      <w:r w:rsidRPr="00555114">
        <w:rPr>
          <w:sz w:val="20"/>
        </w:rPr>
        <w:t xml:space="preserve"> Full-Duplex Communication in Cellular Networks”, </w:t>
      </w:r>
      <w:r w:rsidRPr="00555114">
        <w:rPr>
          <w:i/>
          <w:sz w:val="20"/>
        </w:rPr>
        <w:t>IEEE Transactions on Wireless Communications</w:t>
      </w:r>
      <w:r w:rsidRPr="00555114">
        <w:rPr>
          <w:sz w:val="20"/>
        </w:rPr>
        <w:t xml:space="preserve">, Vol. 15, Issue 11, pp. 7578-7593, August 2016. </w:t>
      </w:r>
      <w:hyperlink r:id="rId12" w:history="1">
        <w:r w:rsidRPr="00555114">
          <w:rPr>
            <w:rStyle w:val="Hyperlink"/>
            <w:color w:val="5893E6" w:themeColor="accent1" w:themeTint="99"/>
            <w:sz w:val="20"/>
          </w:rPr>
          <w:t>[IEEE Xpl</w:t>
        </w:r>
        <w:r w:rsidRPr="00555114">
          <w:rPr>
            <w:rStyle w:val="Hyperlink"/>
            <w:color w:val="5893E6" w:themeColor="accent1" w:themeTint="99"/>
            <w:sz w:val="20"/>
          </w:rPr>
          <w:t>o</w:t>
        </w:r>
        <w:r w:rsidRPr="00555114">
          <w:rPr>
            <w:rStyle w:val="Hyperlink"/>
            <w:color w:val="5893E6" w:themeColor="accent1" w:themeTint="99"/>
            <w:sz w:val="20"/>
          </w:rPr>
          <w:t>re]</w:t>
        </w:r>
      </w:hyperlink>
      <w:r w:rsidRPr="00555114">
        <w:rPr>
          <w:rStyle w:val="Hyperlink"/>
          <w:color w:val="5893E6" w:themeColor="accent1" w:themeTint="99"/>
          <w:sz w:val="20"/>
        </w:rPr>
        <w:t xml:space="preserve"> </w:t>
      </w:r>
      <w:hyperlink r:id="rId13" w:history="1">
        <w:r w:rsidRPr="00555114">
          <w:rPr>
            <w:rStyle w:val="Hyperlink"/>
            <w:color w:val="5893E6" w:themeColor="accent1" w:themeTint="99"/>
            <w:sz w:val="20"/>
          </w:rPr>
          <w:t>[Div</w:t>
        </w:r>
        <w:r w:rsidRPr="00555114">
          <w:rPr>
            <w:rStyle w:val="Hyperlink"/>
            <w:color w:val="5893E6" w:themeColor="accent1" w:themeTint="99"/>
            <w:sz w:val="20"/>
          </w:rPr>
          <w:t>a</w:t>
        </w:r>
        <w:r w:rsidRPr="00555114">
          <w:rPr>
            <w:rStyle w:val="Hyperlink"/>
            <w:color w:val="5893E6" w:themeColor="accent1" w:themeTint="99"/>
            <w:sz w:val="20"/>
          </w:rPr>
          <w:t>]</w:t>
        </w:r>
      </w:hyperlink>
    </w:p>
    <w:p w:rsidR="00DD6532" w:rsidRPr="00555114" w:rsidRDefault="003D6D62">
      <w:pPr>
        <w:pStyle w:val="List"/>
        <w:rPr>
          <w:rStyle w:val="Hyperlink"/>
          <w:color w:val="5893E6" w:themeColor="accent1" w:themeTint="99"/>
          <w:sz w:val="20"/>
        </w:rPr>
      </w:pPr>
      <w:r w:rsidRPr="00555114">
        <w:rPr>
          <w:sz w:val="20"/>
        </w:rPr>
        <w:lastRenderedPageBreak/>
        <w:t>F. Boccardi, H. Shokri-Ghadikolaei, G. Fodor, E. Erkip, C. Fischione, M. Kountouris, P.</w:t>
      </w:r>
      <w:r w:rsidR="00DD6532" w:rsidRPr="00555114">
        <w:rPr>
          <w:sz w:val="20"/>
        </w:rPr>
        <w:t xml:space="preserve"> Popovski, and M</w:t>
      </w:r>
      <w:r w:rsidRPr="00555114">
        <w:rPr>
          <w:sz w:val="20"/>
        </w:rPr>
        <w:t>.</w:t>
      </w:r>
      <w:r w:rsidR="00DD6532" w:rsidRPr="00555114">
        <w:rPr>
          <w:sz w:val="20"/>
        </w:rPr>
        <w:t xml:space="preserve"> Zorzi, “Spectrum Pooling in mmWave Networks: Opportunities, Challenges, and Enablers”, </w:t>
      </w:r>
      <w:r w:rsidR="00DD6532" w:rsidRPr="00555114">
        <w:rPr>
          <w:i/>
          <w:sz w:val="20"/>
        </w:rPr>
        <w:t>IEEE Communications Magazine</w:t>
      </w:r>
      <w:r w:rsidR="00DD6532" w:rsidRPr="00555114">
        <w:rPr>
          <w:sz w:val="20"/>
        </w:rPr>
        <w:t xml:space="preserve">, Vol. 54, Issue 11, pp. 33 - 39, November 2016. </w:t>
      </w:r>
      <w:hyperlink r:id="rId14" w:history="1">
        <w:r w:rsidRPr="00555114">
          <w:rPr>
            <w:rStyle w:val="Hyperlink"/>
            <w:color w:val="5893E6" w:themeColor="accent1" w:themeTint="99"/>
            <w:sz w:val="20"/>
          </w:rPr>
          <w:t xml:space="preserve">[IEEE </w:t>
        </w:r>
        <w:r w:rsidRPr="00555114">
          <w:rPr>
            <w:rStyle w:val="Hyperlink"/>
            <w:color w:val="5893E6" w:themeColor="accent1" w:themeTint="99"/>
            <w:sz w:val="20"/>
          </w:rPr>
          <w:t>X</w:t>
        </w:r>
        <w:r w:rsidRPr="00555114">
          <w:rPr>
            <w:rStyle w:val="Hyperlink"/>
            <w:color w:val="5893E6" w:themeColor="accent1" w:themeTint="99"/>
            <w:sz w:val="20"/>
          </w:rPr>
          <w:t>plore]</w:t>
        </w:r>
      </w:hyperlink>
      <w:r w:rsidRPr="00555114">
        <w:rPr>
          <w:rStyle w:val="Hyperlink"/>
          <w:color w:val="5893E6" w:themeColor="accent1" w:themeTint="99"/>
          <w:sz w:val="20"/>
        </w:rPr>
        <w:t xml:space="preserve"> </w:t>
      </w:r>
      <w:hyperlink r:id="rId15" w:history="1">
        <w:r w:rsidRPr="00555114">
          <w:rPr>
            <w:rStyle w:val="Hyperlink"/>
            <w:color w:val="5893E6" w:themeColor="accent1" w:themeTint="99"/>
            <w:sz w:val="20"/>
          </w:rPr>
          <w:t>[Di</w:t>
        </w:r>
        <w:r w:rsidRPr="00555114">
          <w:rPr>
            <w:rStyle w:val="Hyperlink"/>
            <w:color w:val="5893E6" w:themeColor="accent1" w:themeTint="99"/>
            <w:sz w:val="20"/>
          </w:rPr>
          <w:t>v</w:t>
        </w:r>
        <w:r w:rsidRPr="00555114">
          <w:rPr>
            <w:rStyle w:val="Hyperlink"/>
            <w:color w:val="5893E6" w:themeColor="accent1" w:themeTint="99"/>
            <w:sz w:val="20"/>
          </w:rPr>
          <w:t>a]</w:t>
        </w:r>
      </w:hyperlink>
    </w:p>
    <w:bookmarkEnd w:id="1"/>
    <w:bookmarkEnd w:id="2"/>
    <w:bookmarkEnd w:id="3"/>
    <w:bookmarkEnd w:id="4"/>
    <w:bookmarkEnd w:id="5"/>
    <w:bookmarkEnd w:id="6"/>
    <w:p w:rsidR="00E866E2" w:rsidRPr="00555114" w:rsidRDefault="003D6D62">
      <w:pPr>
        <w:pStyle w:val="List"/>
        <w:rPr>
          <w:sz w:val="20"/>
        </w:rPr>
      </w:pPr>
      <w:r w:rsidRPr="00555114">
        <w:rPr>
          <w:rStyle w:val="ng-scope"/>
          <w:sz w:val="20"/>
        </w:rPr>
        <w:t xml:space="preserve">G. Fodor, S. Roger, N. Rajatheva, S. B. Slimane, T. Svensson, P. Popovski, </w:t>
      </w:r>
      <w:r w:rsidRPr="00555114">
        <w:rPr>
          <w:sz w:val="20"/>
        </w:rPr>
        <w:t>J. M. B. da Silva</w:t>
      </w:r>
      <w:r w:rsidRPr="00555114">
        <w:rPr>
          <w:sz w:val="20"/>
        </w:rPr>
        <w:t>, S. Ali</w:t>
      </w:r>
      <w:proofErr w:type="gramStart"/>
      <w:r w:rsidRPr="00555114">
        <w:rPr>
          <w:sz w:val="20"/>
        </w:rPr>
        <w:t>, ”An</w:t>
      </w:r>
      <w:proofErr w:type="gramEnd"/>
      <w:r w:rsidRPr="00555114">
        <w:rPr>
          <w:sz w:val="20"/>
        </w:rPr>
        <w:t xml:space="preserve"> Overview of Device-to-Device Communications Technology Components in METIS”, </w:t>
      </w:r>
      <w:r w:rsidRPr="00555114">
        <w:rPr>
          <w:i/>
          <w:sz w:val="20"/>
        </w:rPr>
        <w:t>IEEE Access</w:t>
      </w:r>
      <w:r w:rsidRPr="00555114">
        <w:rPr>
          <w:sz w:val="20"/>
        </w:rPr>
        <w:t xml:space="preserve">, Volume 4, pp. 3288-3299, June 2016. </w:t>
      </w:r>
      <w:hyperlink r:id="rId16" w:history="1">
        <w:r w:rsidRPr="00555114">
          <w:rPr>
            <w:rStyle w:val="Hyperlink"/>
            <w:color w:val="5893E6" w:themeColor="accent1" w:themeTint="99"/>
            <w:sz w:val="20"/>
          </w:rPr>
          <w:t>[IEEE X</w:t>
        </w:r>
        <w:r w:rsidRPr="00555114">
          <w:rPr>
            <w:rStyle w:val="Hyperlink"/>
            <w:color w:val="5893E6" w:themeColor="accent1" w:themeTint="99"/>
            <w:sz w:val="20"/>
          </w:rPr>
          <w:t>p</w:t>
        </w:r>
        <w:r w:rsidRPr="00555114">
          <w:rPr>
            <w:rStyle w:val="Hyperlink"/>
            <w:color w:val="5893E6" w:themeColor="accent1" w:themeTint="99"/>
            <w:sz w:val="20"/>
          </w:rPr>
          <w:t>lore]</w:t>
        </w:r>
      </w:hyperlink>
      <w:r w:rsidRPr="00555114">
        <w:rPr>
          <w:rStyle w:val="Hyperlink"/>
          <w:color w:val="5893E6" w:themeColor="accent1" w:themeTint="99"/>
          <w:sz w:val="20"/>
        </w:rPr>
        <w:t xml:space="preserve"> </w:t>
      </w:r>
      <w:hyperlink r:id="rId17" w:history="1">
        <w:r w:rsidRPr="00555114">
          <w:rPr>
            <w:rStyle w:val="Hyperlink"/>
            <w:color w:val="5893E6" w:themeColor="accent1" w:themeTint="99"/>
            <w:sz w:val="20"/>
          </w:rPr>
          <w:t>[Div</w:t>
        </w:r>
        <w:r w:rsidRPr="00555114">
          <w:rPr>
            <w:rStyle w:val="Hyperlink"/>
            <w:color w:val="5893E6" w:themeColor="accent1" w:themeTint="99"/>
            <w:sz w:val="20"/>
          </w:rPr>
          <w:t>a</w:t>
        </w:r>
        <w:r w:rsidRPr="00555114">
          <w:rPr>
            <w:rStyle w:val="Hyperlink"/>
            <w:color w:val="5893E6" w:themeColor="accent1" w:themeTint="99"/>
            <w:sz w:val="20"/>
          </w:rPr>
          <w:t>]</w:t>
        </w:r>
      </w:hyperlink>
    </w:p>
    <w:p w:rsidR="003D6D62" w:rsidRPr="00555114" w:rsidRDefault="003D6D62">
      <w:pPr>
        <w:pStyle w:val="List"/>
        <w:rPr>
          <w:rStyle w:val="Hyperlink"/>
          <w:color w:val="auto"/>
          <w:sz w:val="20"/>
          <w:u w:val="none"/>
        </w:rPr>
      </w:pPr>
      <w:r w:rsidRPr="00555114">
        <w:rPr>
          <w:sz w:val="20"/>
        </w:rPr>
        <w:t>A. Orsino, A. Ometov, G. Fodor, D. Moltchanov, L. Militano, S. Andreev, O. N. C. Yilmaz, T. Tirronen, J. Torsner, G. Araniti, M. Dohler, and Y.</w:t>
      </w:r>
      <w:r w:rsidRPr="00555114">
        <w:rPr>
          <w:sz w:val="20"/>
        </w:rPr>
        <w:t xml:space="preserve"> Koucheryavy, "Effects of Heterogeneous Mobility on D2D- and Drone-Assisted Mission-Critical MTC in 5G", </w:t>
      </w:r>
      <w:r w:rsidRPr="00555114">
        <w:rPr>
          <w:sz w:val="20"/>
        </w:rPr>
        <w:br/>
      </w:r>
      <w:r w:rsidRPr="00555114">
        <w:rPr>
          <w:rStyle w:val="Strong"/>
          <w:b w:val="0"/>
          <w:i/>
          <w:sz w:val="20"/>
        </w:rPr>
        <w:t>IEEE Communications Magazine</w:t>
      </w:r>
      <w:r w:rsidRPr="00555114">
        <w:rPr>
          <w:sz w:val="20"/>
        </w:rPr>
        <w:t>, Vol. 55, Issue 2, pp. 79-87, February 2017</w:t>
      </w:r>
      <w:r w:rsidR="00FB647C" w:rsidRPr="00555114">
        <w:rPr>
          <w:sz w:val="20"/>
        </w:rPr>
        <w:t xml:space="preserve">. </w:t>
      </w:r>
      <w:hyperlink r:id="rId18" w:history="1">
        <w:r w:rsidR="00FB647C" w:rsidRPr="00555114">
          <w:rPr>
            <w:rStyle w:val="Hyperlink"/>
            <w:color w:val="5893E6" w:themeColor="accent1" w:themeTint="99"/>
            <w:sz w:val="20"/>
          </w:rPr>
          <w:t>[IEE</w:t>
        </w:r>
        <w:r w:rsidR="00FB647C" w:rsidRPr="00555114">
          <w:rPr>
            <w:rStyle w:val="Hyperlink"/>
            <w:color w:val="5893E6" w:themeColor="accent1" w:themeTint="99"/>
            <w:sz w:val="20"/>
          </w:rPr>
          <w:t>E</w:t>
        </w:r>
        <w:r w:rsidR="00FB647C" w:rsidRPr="00555114">
          <w:rPr>
            <w:rStyle w:val="Hyperlink"/>
            <w:color w:val="5893E6" w:themeColor="accent1" w:themeTint="99"/>
            <w:sz w:val="20"/>
          </w:rPr>
          <w:t xml:space="preserve"> Xplore]</w:t>
        </w:r>
      </w:hyperlink>
      <w:r w:rsidR="00FB647C" w:rsidRPr="00555114">
        <w:rPr>
          <w:rStyle w:val="Hyperlink"/>
          <w:color w:val="5893E6" w:themeColor="accent1" w:themeTint="99"/>
          <w:sz w:val="20"/>
        </w:rPr>
        <w:t xml:space="preserve"> </w:t>
      </w:r>
      <w:hyperlink r:id="rId19" w:history="1">
        <w:r w:rsidR="00FB647C" w:rsidRPr="00555114">
          <w:rPr>
            <w:rStyle w:val="Hyperlink"/>
            <w:color w:val="5893E6" w:themeColor="accent1" w:themeTint="99"/>
            <w:sz w:val="20"/>
          </w:rPr>
          <w:t>[Di</w:t>
        </w:r>
        <w:r w:rsidR="00FB647C" w:rsidRPr="00555114">
          <w:rPr>
            <w:rStyle w:val="Hyperlink"/>
            <w:color w:val="5893E6" w:themeColor="accent1" w:themeTint="99"/>
            <w:sz w:val="20"/>
          </w:rPr>
          <w:t>v</w:t>
        </w:r>
        <w:r w:rsidR="00FB647C" w:rsidRPr="00555114">
          <w:rPr>
            <w:rStyle w:val="Hyperlink"/>
            <w:color w:val="5893E6" w:themeColor="accent1" w:themeTint="99"/>
            <w:sz w:val="20"/>
          </w:rPr>
          <w:t>a]</w:t>
        </w:r>
      </w:hyperlink>
    </w:p>
    <w:p w:rsidR="00F21AEE" w:rsidRPr="00555114" w:rsidRDefault="00F21AEE" w:rsidP="00F21AEE">
      <w:pPr>
        <w:pStyle w:val="List"/>
        <w:rPr>
          <w:sz w:val="20"/>
        </w:rPr>
      </w:pPr>
      <w:hyperlink r:id="rId20" w:history="1">
        <w:r w:rsidRPr="00555114">
          <w:rPr>
            <w:rStyle w:val="Hyperlink"/>
            <w:sz w:val="20"/>
            <w:u w:val="none"/>
          </w:rPr>
          <w:t>V.</w:t>
        </w:r>
        <w:r w:rsidRPr="00555114">
          <w:rPr>
            <w:rStyle w:val="Hyperlink"/>
            <w:sz w:val="20"/>
            <w:u w:val="none"/>
          </w:rPr>
          <w:t xml:space="preserve"> Petrov</w:t>
        </w:r>
      </w:hyperlink>
      <w:r w:rsidRPr="00555114">
        <w:rPr>
          <w:sz w:val="20"/>
        </w:rPr>
        <w:t xml:space="preserve">, </w:t>
      </w:r>
      <w:hyperlink r:id="rId21" w:history="1">
        <w:r w:rsidRPr="00555114">
          <w:rPr>
            <w:rStyle w:val="Hyperlink"/>
            <w:sz w:val="20"/>
            <w:u w:val="none"/>
          </w:rPr>
          <w:t>K.</w:t>
        </w:r>
        <w:r w:rsidRPr="00555114">
          <w:rPr>
            <w:rStyle w:val="Hyperlink"/>
            <w:sz w:val="20"/>
            <w:u w:val="none"/>
          </w:rPr>
          <w:t xml:space="preserve"> Mikhaylov</w:t>
        </w:r>
      </w:hyperlink>
      <w:r w:rsidRPr="00555114">
        <w:rPr>
          <w:sz w:val="20"/>
        </w:rPr>
        <w:t xml:space="preserve">, </w:t>
      </w:r>
      <w:hyperlink r:id="rId22" w:history="1">
        <w:r w:rsidRPr="00555114">
          <w:rPr>
            <w:rStyle w:val="Hyperlink"/>
            <w:sz w:val="20"/>
            <w:u w:val="none"/>
          </w:rPr>
          <w:t>D.</w:t>
        </w:r>
        <w:r w:rsidRPr="00555114">
          <w:rPr>
            <w:rStyle w:val="Hyperlink"/>
            <w:sz w:val="20"/>
            <w:u w:val="none"/>
          </w:rPr>
          <w:t xml:space="preserve"> Moltchanov</w:t>
        </w:r>
      </w:hyperlink>
      <w:r w:rsidRPr="00555114">
        <w:rPr>
          <w:sz w:val="20"/>
        </w:rPr>
        <w:t xml:space="preserve">, </w:t>
      </w:r>
      <w:hyperlink r:id="rId23" w:history="1">
        <w:r w:rsidRPr="00555114">
          <w:rPr>
            <w:rStyle w:val="Hyperlink"/>
            <w:sz w:val="20"/>
            <w:u w:val="none"/>
          </w:rPr>
          <w:t>S.</w:t>
        </w:r>
        <w:r w:rsidRPr="00555114">
          <w:rPr>
            <w:rStyle w:val="Hyperlink"/>
            <w:sz w:val="20"/>
            <w:u w:val="none"/>
          </w:rPr>
          <w:t xml:space="preserve"> Andreev</w:t>
        </w:r>
      </w:hyperlink>
      <w:r w:rsidRPr="00555114">
        <w:rPr>
          <w:sz w:val="20"/>
        </w:rPr>
        <w:t xml:space="preserve">, </w:t>
      </w:r>
      <w:hyperlink r:id="rId24" w:history="1">
        <w:r w:rsidRPr="00555114">
          <w:rPr>
            <w:rStyle w:val="Hyperlink"/>
            <w:sz w:val="20"/>
            <w:u w:val="none"/>
          </w:rPr>
          <w:t>G.</w:t>
        </w:r>
        <w:r w:rsidRPr="00555114">
          <w:rPr>
            <w:rStyle w:val="Hyperlink"/>
            <w:sz w:val="20"/>
            <w:u w:val="none"/>
          </w:rPr>
          <w:t xml:space="preserve"> Fodor</w:t>
        </w:r>
      </w:hyperlink>
      <w:r w:rsidRPr="00555114">
        <w:rPr>
          <w:sz w:val="20"/>
        </w:rPr>
        <w:t xml:space="preserve">, </w:t>
      </w:r>
      <w:hyperlink r:id="rId25" w:history="1">
        <w:r w:rsidRPr="00555114">
          <w:rPr>
            <w:rStyle w:val="Hyperlink"/>
            <w:sz w:val="20"/>
            <w:u w:val="none"/>
          </w:rPr>
          <w:t>J.</w:t>
        </w:r>
        <w:r w:rsidRPr="00555114">
          <w:rPr>
            <w:rStyle w:val="Hyperlink"/>
            <w:sz w:val="20"/>
            <w:u w:val="none"/>
          </w:rPr>
          <w:t xml:space="preserve"> Torsner</w:t>
        </w:r>
      </w:hyperlink>
      <w:r w:rsidRPr="00555114">
        <w:rPr>
          <w:sz w:val="20"/>
        </w:rPr>
        <w:t xml:space="preserve">, </w:t>
      </w:r>
      <w:hyperlink r:id="rId26" w:history="1">
        <w:r w:rsidRPr="00555114">
          <w:rPr>
            <w:rStyle w:val="Hyperlink"/>
            <w:sz w:val="20"/>
            <w:u w:val="none"/>
          </w:rPr>
          <w:t>H.</w:t>
        </w:r>
        <w:r w:rsidRPr="00555114">
          <w:rPr>
            <w:rStyle w:val="Hyperlink"/>
            <w:sz w:val="20"/>
            <w:u w:val="none"/>
          </w:rPr>
          <w:t xml:space="preserve"> Yanikomeroglu</w:t>
        </w:r>
      </w:hyperlink>
      <w:r w:rsidRPr="00555114">
        <w:rPr>
          <w:sz w:val="20"/>
        </w:rPr>
        <w:t xml:space="preserve">, </w:t>
      </w:r>
      <w:hyperlink r:id="rId27" w:history="1">
        <w:r w:rsidRPr="00555114">
          <w:rPr>
            <w:rStyle w:val="Hyperlink"/>
            <w:sz w:val="20"/>
            <w:u w:val="none"/>
          </w:rPr>
          <w:t xml:space="preserve">M. </w:t>
        </w:r>
        <w:proofErr w:type="spellStart"/>
        <w:r w:rsidRPr="00555114">
          <w:rPr>
            <w:rStyle w:val="Hyperlink"/>
            <w:sz w:val="20"/>
            <w:u w:val="none"/>
          </w:rPr>
          <w:t>Juntti</w:t>
        </w:r>
        <w:proofErr w:type="spellEnd"/>
      </w:hyperlink>
      <w:r w:rsidRPr="00555114">
        <w:rPr>
          <w:sz w:val="20"/>
        </w:rPr>
        <w:t xml:space="preserve">, </w:t>
      </w:r>
      <w:hyperlink r:id="rId28" w:history="1">
        <w:r w:rsidRPr="00555114">
          <w:rPr>
            <w:rStyle w:val="Hyperlink"/>
            <w:sz w:val="20"/>
            <w:u w:val="none"/>
          </w:rPr>
          <w:t>Y.</w:t>
        </w:r>
        <w:r w:rsidRPr="00555114">
          <w:rPr>
            <w:rStyle w:val="Hyperlink"/>
            <w:sz w:val="20"/>
            <w:u w:val="none"/>
          </w:rPr>
          <w:t xml:space="preserve"> Koucheryavy</w:t>
        </w:r>
      </w:hyperlink>
      <w:r w:rsidRPr="00555114">
        <w:rPr>
          <w:sz w:val="20"/>
        </w:rPr>
        <w:t xml:space="preserve">, “When IoT Keeps People in the Loop: A Path Towards a New Global Utility”, </w:t>
      </w:r>
      <w:r w:rsidRPr="00555114">
        <w:rPr>
          <w:i/>
          <w:sz w:val="20"/>
        </w:rPr>
        <w:t>under submission</w:t>
      </w:r>
      <w:r w:rsidRPr="00555114">
        <w:rPr>
          <w:sz w:val="20"/>
        </w:rPr>
        <w:t xml:space="preserve">, arXiv:1703.00541, </w:t>
      </w:r>
      <w:hyperlink r:id="rId29" w:history="1">
        <w:r w:rsidRPr="00555114">
          <w:rPr>
            <w:rStyle w:val="Hyperlink"/>
            <w:color w:val="5893E6" w:themeColor="accent1" w:themeTint="99"/>
            <w:sz w:val="20"/>
          </w:rPr>
          <w:t>[arXiv link]</w:t>
        </w:r>
      </w:hyperlink>
    </w:p>
    <w:p w:rsidR="00ED7E08" w:rsidRPr="00555114" w:rsidRDefault="00ED7E08" w:rsidP="00F21AEE">
      <w:pPr>
        <w:pStyle w:val="List"/>
        <w:rPr>
          <w:sz w:val="20"/>
        </w:rPr>
      </w:pPr>
      <w:r w:rsidRPr="00555114">
        <w:rPr>
          <w:sz w:val="20"/>
        </w:rPr>
        <w:t xml:space="preserve">Y. Li, T. Wu, P. Hui, D. </w:t>
      </w:r>
      <w:proofErr w:type="spellStart"/>
      <w:r w:rsidRPr="00555114">
        <w:rPr>
          <w:sz w:val="20"/>
        </w:rPr>
        <w:t>Jin</w:t>
      </w:r>
      <w:proofErr w:type="spellEnd"/>
      <w:r w:rsidRPr="00555114">
        <w:rPr>
          <w:sz w:val="20"/>
        </w:rPr>
        <w:t xml:space="preserve"> and S. Chen, “Social-Aware D2D Communications: Qualitative Insights and Quantitative Analysis”, </w:t>
      </w:r>
      <w:r w:rsidRPr="00555114">
        <w:rPr>
          <w:i/>
          <w:sz w:val="20"/>
        </w:rPr>
        <w:t>IEEE Communications Magazine</w:t>
      </w:r>
      <w:r w:rsidRPr="00555114">
        <w:rPr>
          <w:sz w:val="20"/>
        </w:rPr>
        <w:t>, pp. 150-</w:t>
      </w:r>
      <w:r w:rsidR="00046F23" w:rsidRPr="00555114">
        <w:rPr>
          <w:sz w:val="20"/>
        </w:rPr>
        <w:t xml:space="preserve">158, </w:t>
      </w:r>
      <w:r w:rsidRPr="00555114">
        <w:rPr>
          <w:sz w:val="20"/>
        </w:rPr>
        <w:t>June 2014.</w:t>
      </w:r>
    </w:p>
    <w:p w:rsidR="00046F23" w:rsidRPr="00555114" w:rsidRDefault="00046F23" w:rsidP="00F21AEE">
      <w:pPr>
        <w:pStyle w:val="List"/>
        <w:rPr>
          <w:sz w:val="20"/>
        </w:rPr>
      </w:pPr>
      <w:r w:rsidRPr="00555114">
        <w:rPr>
          <w:sz w:val="20"/>
        </w:rPr>
        <w:t xml:space="preserve">R. </w:t>
      </w:r>
      <w:r w:rsidRPr="00555114">
        <w:rPr>
          <w:sz w:val="20"/>
        </w:rPr>
        <w:t xml:space="preserve">Schoenen and H. Yanikomeroglu, “User-in-the-Loop: Spatial and Temporal Demand for Sustainable Wireless Networks”, </w:t>
      </w:r>
      <w:r w:rsidRPr="00555114">
        <w:rPr>
          <w:i/>
          <w:iCs/>
          <w:sz w:val="20"/>
        </w:rPr>
        <w:t>IEEE Communications Magazine</w:t>
      </w:r>
      <w:r w:rsidRPr="00555114">
        <w:rPr>
          <w:sz w:val="20"/>
        </w:rPr>
        <w:t>, February 2014. pp. 196-203.</w:t>
      </w:r>
    </w:p>
    <w:p w:rsidR="00046F23" w:rsidRPr="00555114" w:rsidRDefault="00046F23" w:rsidP="00046F23">
      <w:pPr>
        <w:pStyle w:val="List"/>
        <w:rPr>
          <w:sz w:val="20"/>
        </w:rPr>
      </w:pPr>
      <w:r w:rsidRPr="00555114">
        <w:rPr>
          <w:sz w:val="20"/>
        </w:rPr>
        <w:t xml:space="preserve">N. </w:t>
      </w:r>
      <w:hyperlink r:id="rId30" w:history="1">
        <w:r w:rsidRPr="00555114">
          <w:rPr>
            <w:rStyle w:val="Hyperlink"/>
            <w:sz w:val="20"/>
            <w:u w:val="none"/>
          </w:rPr>
          <w:t>Golrezaei,</w:t>
        </w:r>
      </w:hyperlink>
      <w:r w:rsidRPr="00555114">
        <w:rPr>
          <w:sz w:val="20"/>
        </w:rPr>
        <w:t xml:space="preserve"> A. F. </w:t>
      </w:r>
      <w:hyperlink r:id="rId31" w:history="1">
        <w:r w:rsidRPr="00555114">
          <w:rPr>
            <w:rStyle w:val="Hyperlink"/>
            <w:sz w:val="20"/>
            <w:u w:val="none"/>
          </w:rPr>
          <w:t>Molisch,</w:t>
        </w:r>
      </w:hyperlink>
      <w:r w:rsidRPr="00555114">
        <w:rPr>
          <w:sz w:val="20"/>
        </w:rPr>
        <w:t xml:space="preserve"> A. G. </w:t>
      </w:r>
      <w:hyperlink r:id="rId32" w:history="1">
        <w:r w:rsidRPr="00555114">
          <w:rPr>
            <w:rStyle w:val="Hyperlink"/>
            <w:sz w:val="20"/>
            <w:u w:val="none"/>
          </w:rPr>
          <w:t>Dimakis,</w:t>
        </w:r>
      </w:hyperlink>
      <w:r w:rsidRPr="00555114">
        <w:rPr>
          <w:sz w:val="20"/>
        </w:rPr>
        <w:t xml:space="preserve"> and G. </w:t>
      </w:r>
      <w:hyperlink r:id="rId33" w:history="1">
        <w:r w:rsidRPr="00555114">
          <w:rPr>
            <w:rStyle w:val="Hyperlink"/>
            <w:sz w:val="20"/>
            <w:u w:val="none"/>
          </w:rPr>
          <w:t>Caire</w:t>
        </w:r>
      </w:hyperlink>
      <w:r w:rsidRPr="00555114">
        <w:rPr>
          <w:sz w:val="20"/>
        </w:rPr>
        <w:t>,</w:t>
      </w:r>
      <w:r w:rsidRPr="00555114">
        <w:rPr>
          <w:sz w:val="20"/>
        </w:rPr>
        <w:t xml:space="preserve"> “</w:t>
      </w:r>
      <w:proofErr w:type="spellStart"/>
      <w:r w:rsidRPr="00555114">
        <w:rPr>
          <w:sz w:val="20"/>
        </w:rPr>
        <w:t>Femtocaching</w:t>
      </w:r>
      <w:proofErr w:type="spellEnd"/>
      <w:r w:rsidRPr="00555114">
        <w:rPr>
          <w:sz w:val="20"/>
        </w:rPr>
        <w:t xml:space="preserve"> and Device-to-Device Collaboration: A New Architecture for Wireless Video Distribution”, </w:t>
      </w:r>
      <w:r w:rsidRPr="00555114">
        <w:rPr>
          <w:rStyle w:val="Emphasis"/>
          <w:sz w:val="20"/>
        </w:rPr>
        <w:t>IEEE Communications Magazine</w:t>
      </w:r>
      <w:r w:rsidRPr="00555114">
        <w:rPr>
          <w:sz w:val="20"/>
        </w:rPr>
        <w:t>, pp. 142-149, April 2013.</w:t>
      </w:r>
    </w:p>
    <w:sectPr w:rsidR="00046F23" w:rsidRPr="00555114" w:rsidSect="00F91257">
      <w:headerReference w:type="default" r:id="rId34"/>
      <w:footerReference w:type="default" r:id="rId35"/>
      <w:headerReference w:type="first" r:id="rId36"/>
      <w:footerReference w:type="first" r:id="rId37"/>
      <w:pgSz w:w="11906" w:h="16838" w:code="9"/>
      <w:pgMar w:top="2381" w:right="1304" w:bottom="1474" w:left="1474" w:header="652" w:footer="79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615B" w:rsidRDefault="0045615B" w:rsidP="00AB37AC">
      <w:r>
        <w:separator/>
      </w:r>
    </w:p>
  </w:endnote>
  <w:endnote w:type="continuationSeparator" w:id="0">
    <w:p w:rsidR="0045615B" w:rsidRDefault="0045615B"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6A7494" w:rsidTr="007A0DF9">
      <w:tc>
        <w:tcPr>
          <w:tcW w:w="7994" w:type="dxa"/>
        </w:tcPr>
        <w:p w:rsidR="006A7494" w:rsidRDefault="006A7494" w:rsidP="007A0DF9">
          <w:pPr>
            <w:pStyle w:val="Footer"/>
          </w:pPr>
        </w:p>
      </w:tc>
      <w:tc>
        <w:tcPr>
          <w:tcW w:w="1134" w:type="dxa"/>
          <w:vAlign w:val="bottom"/>
        </w:tcPr>
        <w:p w:rsidR="006A7494" w:rsidRPr="009E4316" w:rsidRDefault="006A7494" w:rsidP="007A0DF9">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sidR="003F45EB">
            <w:rPr>
              <w:rStyle w:val="PageNumber"/>
              <w:noProof/>
            </w:rPr>
            <w:t>4</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sidR="003F45EB">
            <w:rPr>
              <w:rStyle w:val="PageNumber"/>
              <w:noProof/>
            </w:rPr>
            <w:t>4</w:t>
          </w:r>
          <w:r w:rsidRPr="009E4316">
            <w:rPr>
              <w:rStyle w:val="PageNumber"/>
            </w:rPr>
            <w:fldChar w:fldCharType="end"/>
          </w:r>
          <w:r w:rsidRPr="009E4316">
            <w:rPr>
              <w:rStyle w:val="PageNumber"/>
            </w:rPr>
            <w:t>)</w:t>
          </w:r>
        </w:p>
      </w:tc>
    </w:tr>
  </w:tbl>
  <w:p w:rsidR="006A7494" w:rsidRPr="00DB69BA" w:rsidRDefault="006A7494" w:rsidP="006A7494">
    <w:pPr>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6A7494" w:rsidTr="007A0DF9">
      <w:tc>
        <w:tcPr>
          <w:tcW w:w="7994" w:type="dxa"/>
        </w:tcPr>
        <w:p w:rsidR="006A7494" w:rsidRDefault="006A7494" w:rsidP="007A0DF9">
          <w:pPr>
            <w:pStyle w:val="Footer"/>
          </w:pPr>
        </w:p>
      </w:tc>
      <w:tc>
        <w:tcPr>
          <w:tcW w:w="1134" w:type="dxa"/>
          <w:vAlign w:val="bottom"/>
        </w:tcPr>
        <w:p w:rsidR="006A7494" w:rsidRPr="009E4316" w:rsidRDefault="006A7494" w:rsidP="007A0DF9">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sidR="00355D93">
            <w:rPr>
              <w:rStyle w:val="PageNumber"/>
              <w:noProof/>
            </w:rPr>
            <w:t>1</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sidR="00355D93">
            <w:rPr>
              <w:rStyle w:val="PageNumber"/>
              <w:noProof/>
            </w:rPr>
            <w:t>4</w:t>
          </w:r>
          <w:r w:rsidRPr="009E4316">
            <w:rPr>
              <w:rStyle w:val="PageNumber"/>
            </w:rPr>
            <w:fldChar w:fldCharType="end"/>
          </w:r>
          <w:r w:rsidRPr="009E4316">
            <w:rPr>
              <w:rStyle w:val="PageNumber"/>
            </w:rPr>
            <w:t>)</w:t>
          </w:r>
        </w:p>
      </w:tc>
    </w:tr>
  </w:tbl>
  <w:p w:rsidR="006A7494" w:rsidRPr="00DB69BA" w:rsidRDefault="006A7494" w:rsidP="006A7494">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615B" w:rsidRDefault="0045615B" w:rsidP="00AB37AC">
      <w:r>
        <w:separator/>
      </w:r>
    </w:p>
  </w:footnote>
  <w:footnote w:type="continuationSeparator" w:id="0">
    <w:p w:rsidR="0045615B" w:rsidRDefault="0045615B" w:rsidP="00AB3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962"/>
      <w:gridCol w:w="226"/>
      <w:gridCol w:w="1962"/>
    </w:tblGrid>
    <w:tr w:rsidR="006A7494" w:rsidTr="00916344">
      <w:trPr>
        <w:trHeight w:val="238"/>
      </w:trPr>
      <w:tc>
        <w:tcPr>
          <w:tcW w:w="4740" w:type="dxa"/>
        </w:tcPr>
        <w:p w:rsidR="006A7494" w:rsidRPr="00271F0E" w:rsidRDefault="006A7494" w:rsidP="007A0DF9">
          <w:pPr>
            <w:pStyle w:val="HeaderBold"/>
          </w:pPr>
        </w:p>
      </w:tc>
      <w:tc>
        <w:tcPr>
          <w:tcW w:w="226" w:type="dxa"/>
        </w:tcPr>
        <w:p w:rsidR="006A7494" w:rsidRPr="00271F0E" w:rsidRDefault="006A7494" w:rsidP="007A0DF9">
          <w:pPr>
            <w:pStyle w:val="HeaderBold"/>
          </w:pPr>
        </w:p>
      </w:tc>
      <w:tc>
        <w:tcPr>
          <w:tcW w:w="1962" w:type="dxa"/>
        </w:tcPr>
        <w:p w:rsidR="006A7494" w:rsidRPr="00271F0E" w:rsidRDefault="006A7494" w:rsidP="007A0DF9">
          <w:pPr>
            <w:pStyle w:val="HeaderBold"/>
          </w:pPr>
        </w:p>
      </w:tc>
      <w:tc>
        <w:tcPr>
          <w:tcW w:w="226" w:type="dxa"/>
        </w:tcPr>
        <w:p w:rsidR="006A7494" w:rsidRPr="00271F0E" w:rsidRDefault="006A7494" w:rsidP="007A0DF9">
          <w:pPr>
            <w:pStyle w:val="HeaderBold"/>
          </w:pPr>
        </w:p>
      </w:tc>
      <w:tc>
        <w:tcPr>
          <w:tcW w:w="1962" w:type="dxa"/>
        </w:tcPr>
        <w:p w:rsidR="006A7494" w:rsidRPr="00271F0E" w:rsidRDefault="006A7494" w:rsidP="007A0DF9">
          <w:pPr>
            <w:pStyle w:val="HeaderBold"/>
          </w:pPr>
        </w:p>
      </w:tc>
    </w:tr>
    <w:tr w:rsidR="006A7494" w:rsidTr="007A0DF9">
      <w:tc>
        <w:tcPr>
          <w:tcW w:w="4740" w:type="dxa"/>
        </w:tcPr>
        <w:p w:rsidR="006A7494" w:rsidRPr="00D6309B" w:rsidRDefault="006A7494" w:rsidP="007A0DF9">
          <w:pPr>
            <w:pStyle w:val="Header"/>
          </w:pPr>
        </w:p>
      </w:tc>
      <w:tc>
        <w:tcPr>
          <w:tcW w:w="226" w:type="dxa"/>
        </w:tcPr>
        <w:p w:rsidR="006A7494" w:rsidRPr="00D6309B" w:rsidRDefault="006A7494" w:rsidP="007A0DF9">
          <w:pPr>
            <w:pStyle w:val="Header"/>
          </w:pPr>
        </w:p>
      </w:tc>
      <w:tc>
        <w:tcPr>
          <w:tcW w:w="1962" w:type="dxa"/>
        </w:tcPr>
        <w:p w:rsidR="006A7494" w:rsidRPr="00D6309B" w:rsidRDefault="006A7494" w:rsidP="007A0DF9">
          <w:pPr>
            <w:pStyle w:val="Header"/>
          </w:pPr>
        </w:p>
      </w:tc>
      <w:tc>
        <w:tcPr>
          <w:tcW w:w="226" w:type="dxa"/>
        </w:tcPr>
        <w:p w:rsidR="006A7494" w:rsidRPr="00D6309B" w:rsidRDefault="006A7494" w:rsidP="007A0DF9">
          <w:pPr>
            <w:pStyle w:val="Header"/>
          </w:pPr>
        </w:p>
      </w:tc>
      <w:tc>
        <w:tcPr>
          <w:tcW w:w="1962" w:type="dxa"/>
        </w:tcPr>
        <w:p w:rsidR="006A7494" w:rsidRPr="00D6309B" w:rsidRDefault="006A7494" w:rsidP="007A0DF9">
          <w:pPr>
            <w:pStyle w:val="Header"/>
          </w:pPr>
        </w:p>
      </w:tc>
    </w:tr>
    <w:tr w:rsidR="006A7494" w:rsidTr="00916344">
      <w:trPr>
        <w:trHeight w:val="238"/>
      </w:trPr>
      <w:tc>
        <w:tcPr>
          <w:tcW w:w="9116" w:type="dxa"/>
          <w:gridSpan w:val="5"/>
        </w:tcPr>
        <w:p w:rsidR="006A7494" w:rsidRPr="006A7494" w:rsidRDefault="006A7494" w:rsidP="006A7494">
          <w:pPr>
            <w:pStyle w:val="HeaderBold"/>
          </w:pPr>
        </w:p>
      </w:tc>
    </w:tr>
    <w:tr w:rsidR="006A7494" w:rsidTr="007A0DF9">
      <w:tc>
        <w:tcPr>
          <w:tcW w:w="9116" w:type="dxa"/>
          <w:gridSpan w:val="5"/>
        </w:tcPr>
        <w:p w:rsidR="006A7494" w:rsidRPr="006A7494" w:rsidRDefault="006A7494" w:rsidP="006A7494">
          <w:pPr>
            <w:pStyle w:val="Header"/>
          </w:pPr>
        </w:p>
      </w:tc>
    </w:tr>
  </w:tbl>
  <w:p w:rsidR="006A7494" w:rsidRPr="00D6309B" w:rsidRDefault="006A7494" w:rsidP="006A74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7F3A" w:rsidRPr="00B75534" w:rsidRDefault="00107F3A" w:rsidP="00107F3A">
    <w:pPr>
      <w:pStyle w:val="Header"/>
    </w:pPr>
    <w:r>
      <w:rPr>
        <w:noProof/>
        <w:lang w:val="en-US"/>
      </w:rPr>
      <w:drawing>
        <wp:inline distT="0" distB="0" distL="0" distR="0" wp14:anchorId="7DA15384" wp14:editId="310DF30E">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r>
      <w:tab/>
    </w:r>
    <w:r>
      <w:tab/>
    </w:r>
  </w:p>
  <w:p w:rsidR="00A011CC" w:rsidRPr="00B75534" w:rsidRDefault="00A011CC" w:rsidP="00A011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1D48B74E"/>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54C20190"/>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8"/>
    <w:multiLevelType w:val="singleLevel"/>
    <w:tmpl w:val="BA340F86"/>
    <w:lvl w:ilvl="0">
      <w:start w:val="1"/>
      <w:numFmt w:val="decimal"/>
      <w:lvlText w:val="%1."/>
      <w:lvlJc w:val="left"/>
      <w:pPr>
        <w:tabs>
          <w:tab w:val="num" w:pos="360"/>
        </w:tabs>
        <w:ind w:left="360" w:hanging="360"/>
      </w:pPr>
    </w:lvl>
  </w:abstractNum>
  <w:abstractNum w:abstractNumId="5" w15:restartNumberingAfterBreak="0">
    <w:nsid w:val="03656AD7"/>
    <w:multiLevelType w:val="hybridMultilevel"/>
    <w:tmpl w:val="F09AF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600048"/>
    <w:multiLevelType w:val="hybridMultilevel"/>
    <w:tmpl w:val="F7E263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A04B10"/>
    <w:multiLevelType w:val="hybridMultilevel"/>
    <w:tmpl w:val="C67C2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7D222E"/>
    <w:multiLevelType w:val="hybridMultilevel"/>
    <w:tmpl w:val="065A1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4269B4"/>
    <w:multiLevelType w:val="hybridMultilevel"/>
    <w:tmpl w:val="C17C23F8"/>
    <w:lvl w:ilvl="0" w:tplc="4BDE0512">
      <w:start w:val="1"/>
      <w:numFmt w:val="decimal"/>
      <w:pStyle w:val="List"/>
      <w:lvlText w:val="[%1]"/>
      <w:lvlJc w:val="left"/>
      <w:pPr>
        <w:tabs>
          <w:tab w:val="num" w:pos="737"/>
        </w:tabs>
        <w:ind w:left="737" w:hanging="737"/>
      </w:pPr>
      <w:rPr>
        <w:rFonts w:hint="default"/>
        <w:color w:val="auto"/>
      </w:rPr>
    </w:lvl>
    <w:lvl w:ilvl="1" w:tplc="FFFFFFFF">
      <w:start w:val="1"/>
      <w:numFmt w:val="lowerLetter"/>
      <w:lvlText w:val="%2."/>
      <w:lvlJc w:val="left"/>
      <w:pPr>
        <w:tabs>
          <w:tab w:val="num" w:pos="-1112"/>
        </w:tabs>
        <w:ind w:left="-1112" w:hanging="360"/>
      </w:pPr>
    </w:lvl>
    <w:lvl w:ilvl="2" w:tplc="FFFFFFFF" w:tentative="1">
      <w:start w:val="1"/>
      <w:numFmt w:val="lowerRoman"/>
      <w:lvlText w:val="%3."/>
      <w:lvlJc w:val="right"/>
      <w:pPr>
        <w:tabs>
          <w:tab w:val="num" w:pos="-392"/>
        </w:tabs>
        <w:ind w:left="-392" w:hanging="180"/>
      </w:pPr>
    </w:lvl>
    <w:lvl w:ilvl="3" w:tplc="FFFFFFFF">
      <w:start w:val="1"/>
      <w:numFmt w:val="decimal"/>
      <w:lvlText w:val="%4."/>
      <w:lvlJc w:val="left"/>
      <w:pPr>
        <w:tabs>
          <w:tab w:val="num" w:pos="328"/>
        </w:tabs>
        <w:ind w:left="328" w:hanging="360"/>
      </w:pPr>
    </w:lvl>
    <w:lvl w:ilvl="4" w:tplc="FFFFFFFF" w:tentative="1">
      <w:start w:val="1"/>
      <w:numFmt w:val="lowerLetter"/>
      <w:lvlText w:val="%5."/>
      <w:lvlJc w:val="left"/>
      <w:pPr>
        <w:tabs>
          <w:tab w:val="num" w:pos="1048"/>
        </w:tabs>
        <w:ind w:left="1048" w:hanging="360"/>
      </w:pPr>
    </w:lvl>
    <w:lvl w:ilvl="5" w:tplc="FFFFFFFF" w:tentative="1">
      <w:start w:val="1"/>
      <w:numFmt w:val="lowerRoman"/>
      <w:lvlText w:val="%6."/>
      <w:lvlJc w:val="right"/>
      <w:pPr>
        <w:tabs>
          <w:tab w:val="num" w:pos="1768"/>
        </w:tabs>
        <w:ind w:left="1768" w:hanging="180"/>
      </w:pPr>
    </w:lvl>
    <w:lvl w:ilvl="6" w:tplc="FFFFFFFF" w:tentative="1">
      <w:start w:val="1"/>
      <w:numFmt w:val="decimal"/>
      <w:lvlText w:val="%7."/>
      <w:lvlJc w:val="left"/>
      <w:pPr>
        <w:tabs>
          <w:tab w:val="num" w:pos="2488"/>
        </w:tabs>
        <w:ind w:left="2488" w:hanging="360"/>
      </w:pPr>
    </w:lvl>
    <w:lvl w:ilvl="7" w:tplc="FFFFFFFF" w:tentative="1">
      <w:start w:val="1"/>
      <w:numFmt w:val="lowerLetter"/>
      <w:lvlText w:val="%8."/>
      <w:lvlJc w:val="left"/>
      <w:pPr>
        <w:tabs>
          <w:tab w:val="num" w:pos="3208"/>
        </w:tabs>
        <w:ind w:left="3208" w:hanging="360"/>
      </w:pPr>
    </w:lvl>
    <w:lvl w:ilvl="8" w:tplc="FFFFFFFF" w:tentative="1">
      <w:start w:val="1"/>
      <w:numFmt w:val="lowerRoman"/>
      <w:lvlText w:val="%9."/>
      <w:lvlJc w:val="right"/>
      <w:pPr>
        <w:tabs>
          <w:tab w:val="num" w:pos="3928"/>
        </w:tabs>
        <w:ind w:left="3928" w:hanging="180"/>
      </w:pPr>
    </w:lvl>
  </w:abstractNum>
  <w:abstractNum w:abstractNumId="10" w15:restartNumberingAfterBreak="0">
    <w:nsid w:val="28032C06"/>
    <w:multiLevelType w:val="hybridMultilevel"/>
    <w:tmpl w:val="D90E9D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2"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5" w15:restartNumberingAfterBreak="0">
    <w:nsid w:val="5B3129DA"/>
    <w:multiLevelType w:val="hybridMultilevel"/>
    <w:tmpl w:val="A6D6F4D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FFA42B0"/>
    <w:multiLevelType w:val="hybridMultilevel"/>
    <w:tmpl w:val="1E24C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836B1E"/>
    <w:multiLevelType w:val="hybridMultilevel"/>
    <w:tmpl w:val="A0B0FB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2"/>
  </w:num>
  <w:num w:numId="2">
    <w:abstractNumId w:val="1"/>
  </w:num>
  <w:num w:numId="3">
    <w:abstractNumId w:val="0"/>
  </w:num>
  <w:num w:numId="4">
    <w:abstractNumId w:val="13"/>
  </w:num>
  <w:num w:numId="5">
    <w:abstractNumId w:val="3"/>
  </w:num>
  <w:num w:numId="6">
    <w:abstractNumId w:val="2"/>
  </w:num>
  <w:num w:numId="7">
    <w:abstractNumId w:val="4"/>
  </w:num>
  <w:num w:numId="8">
    <w:abstractNumId w:val="11"/>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14"/>
  </w:num>
  <w:num w:numId="12">
    <w:abstractNumId w:val="12"/>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9"/>
  </w:num>
  <w:num w:numId="14">
    <w:abstractNumId w:val="15"/>
  </w:num>
  <w:num w:numId="15">
    <w:abstractNumId w:val="16"/>
  </w:num>
  <w:num w:numId="16">
    <w:abstractNumId w:val="8"/>
  </w:num>
  <w:num w:numId="17">
    <w:abstractNumId w:val="9"/>
    <w:lvlOverride w:ilvl="0">
      <w:startOverride w:val="1"/>
    </w:lvlOverride>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9"/>
  </w:num>
  <w:num w:numId="27">
    <w:abstractNumId w:val="9"/>
    <w:lvlOverride w:ilvl="0">
      <w:startOverride w:val="1"/>
    </w:lvlOverride>
  </w:num>
  <w:num w:numId="28">
    <w:abstractNumId w:val="9"/>
  </w:num>
  <w:num w:numId="29">
    <w:abstractNumId w:val="17"/>
  </w:num>
  <w:num w:numId="30">
    <w:abstractNumId w:val="7"/>
  </w:num>
  <w:num w:numId="31">
    <w:abstractNumId w:val="9"/>
  </w:num>
  <w:num w:numId="32">
    <w:abstractNumId w:val="9"/>
  </w:num>
  <w:num w:numId="33">
    <w:abstractNumId w:val="9"/>
  </w:num>
  <w:num w:numId="34">
    <w:abstractNumId w:val="9"/>
  </w:num>
  <w:num w:numId="35">
    <w:abstractNumId w:val="9"/>
  </w:num>
  <w:num w:numId="36">
    <w:abstractNumId w:val="9"/>
  </w:num>
  <w:num w:numId="37">
    <w:abstractNumId w:val="6"/>
  </w:num>
  <w:num w:numId="38">
    <w:abstractNumId w:val="9"/>
  </w:num>
  <w:num w:numId="39">
    <w:abstractNumId w:val="5"/>
  </w:num>
  <w:num w:numId="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CEC"/>
    <w:rsid w:val="00016ED3"/>
    <w:rsid w:val="00037A26"/>
    <w:rsid w:val="00046F23"/>
    <w:rsid w:val="00072F82"/>
    <w:rsid w:val="00080E35"/>
    <w:rsid w:val="000870AB"/>
    <w:rsid w:val="0008719B"/>
    <w:rsid w:val="000B3649"/>
    <w:rsid w:val="000B4D37"/>
    <w:rsid w:val="000E4EC5"/>
    <w:rsid w:val="000F0D78"/>
    <w:rsid w:val="00103553"/>
    <w:rsid w:val="00107F3A"/>
    <w:rsid w:val="001156A5"/>
    <w:rsid w:val="00122CEC"/>
    <w:rsid w:val="00136BAE"/>
    <w:rsid w:val="001621F9"/>
    <w:rsid w:val="001709FB"/>
    <w:rsid w:val="0018642A"/>
    <w:rsid w:val="001F3547"/>
    <w:rsid w:val="002179BC"/>
    <w:rsid w:val="00237D6B"/>
    <w:rsid w:val="002749BA"/>
    <w:rsid w:val="00291115"/>
    <w:rsid w:val="002A115A"/>
    <w:rsid w:val="002E47D4"/>
    <w:rsid w:val="00304E61"/>
    <w:rsid w:val="00310604"/>
    <w:rsid w:val="00312A79"/>
    <w:rsid w:val="0031407D"/>
    <w:rsid w:val="0032527E"/>
    <w:rsid w:val="00326A21"/>
    <w:rsid w:val="00330777"/>
    <w:rsid w:val="00332FB0"/>
    <w:rsid w:val="00354E81"/>
    <w:rsid w:val="0035566B"/>
    <w:rsid w:val="00355D93"/>
    <w:rsid w:val="00383258"/>
    <w:rsid w:val="003A221F"/>
    <w:rsid w:val="003B55F6"/>
    <w:rsid w:val="003C3064"/>
    <w:rsid w:val="003C5C7A"/>
    <w:rsid w:val="003D5E50"/>
    <w:rsid w:val="003D6D62"/>
    <w:rsid w:val="003F0FAA"/>
    <w:rsid w:val="003F35E7"/>
    <w:rsid w:val="003F45EB"/>
    <w:rsid w:val="00406519"/>
    <w:rsid w:val="0045615B"/>
    <w:rsid w:val="004651FE"/>
    <w:rsid w:val="00484AB4"/>
    <w:rsid w:val="004A3440"/>
    <w:rsid w:val="004C5387"/>
    <w:rsid w:val="00516DE4"/>
    <w:rsid w:val="00523FF5"/>
    <w:rsid w:val="00533A4B"/>
    <w:rsid w:val="00547786"/>
    <w:rsid w:val="00547E65"/>
    <w:rsid w:val="00555114"/>
    <w:rsid w:val="00557863"/>
    <w:rsid w:val="0057553D"/>
    <w:rsid w:val="00580B6F"/>
    <w:rsid w:val="005B2C6B"/>
    <w:rsid w:val="005E70D2"/>
    <w:rsid w:val="0060777C"/>
    <w:rsid w:val="00611DEC"/>
    <w:rsid w:val="00637FDB"/>
    <w:rsid w:val="006574CC"/>
    <w:rsid w:val="00692949"/>
    <w:rsid w:val="006A7494"/>
    <w:rsid w:val="006C3154"/>
    <w:rsid w:val="006F1F41"/>
    <w:rsid w:val="00727579"/>
    <w:rsid w:val="00730430"/>
    <w:rsid w:val="007835A7"/>
    <w:rsid w:val="00792464"/>
    <w:rsid w:val="00793FA3"/>
    <w:rsid w:val="007A74DC"/>
    <w:rsid w:val="007B03F4"/>
    <w:rsid w:val="007D05DE"/>
    <w:rsid w:val="007F3C19"/>
    <w:rsid w:val="007F67AA"/>
    <w:rsid w:val="0082302F"/>
    <w:rsid w:val="00825507"/>
    <w:rsid w:val="008408F1"/>
    <w:rsid w:val="00863257"/>
    <w:rsid w:val="00867D82"/>
    <w:rsid w:val="00873303"/>
    <w:rsid w:val="008815CA"/>
    <w:rsid w:val="008822FA"/>
    <w:rsid w:val="00884916"/>
    <w:rsid w:val="008B1486"/>
    <w:rsid w:val="008B54D0"/>
    <w:rsid w:val="008E4593"/>
    <w:rsid w:val="008F26D6"/>
    <w:rsid w:val="008F7799"/>
    <w:rsid w:val="00902509"/>
    <w:rsid w:val="00916344"/>
    <w:rsid w:val="00922FFA"/>
    <w:rsid w:val="009361E7"/>
    <w:rsid w:val="009742AD"/>
    <w:rsid w:val="00981197"/>
    <w:rsid w:val="009A3428"/>
    <w:rsid w:val="009A59C3"/>
    <w:rsid w:val="009B6C37"/>
    <w:rsid w:val="00A00862"/>
    <w:rsid w:val="00A011CC"/>
    <w:rsid w:val="00A37248"/>
    <w:rsid w:val="00A506FD"/>
    <w:rsid w:val="00A51BAF"/>
    <w:rsid w:val="00A72E38"/>
    <w:rsid w:val="00A77340"/>
    <w:rsid w:val="00A833EA"/>
    <w:rsid w:val="00AA3946"/>
    <w:rsid w:val="00AB37AC"/>
    <w:rsid w:val="00AB5D2D"/>
    <w:rsid w:val="00AE299D"/>
    <w:rsid w:val="00AF0371"/>
    <w:rsid w:val="00B02309"/>
    <w:rsid w:val="00B411DA"/>
    <w:rsid w:val="00B4795A"/>
    <w:rsid w:val="00B5121A"/>
    <w:rsid w:val="00B90528"/>
    <w:rsid w:val="00B9588F"/>
    <w:rsid w:val="00BC64D7"/>
    <w:rsid w:val="00BD10EE"/>
    <w:rsid w:val="00BF5FAC"/>
    <w:rsid w:val="00C0194B"/>
    <w:rsid w:val="00C06690"/>
    <w:rsid w:val="00C2454E"/>
    <w:rsid w:val="00C46B7C"/>
    <w:rsid w:val="00C65034"/>
    <w:rsid w:val="00C87FA2"/>
    <w:rsid w:val="00C97897"/>
    <w:rsid w:val="00D2245B"/>
    <w:rsid w:val="00D24F20"/>
    <w:rsid w:val="00D37C88"/>
    <w:rsid w:val="00D46475"/>
    <w:rsid w:val="00D479C9"/>
    <w:rsid w:val="00D64E91"/>
    <w:rsid w:val="00DC1EDF"/>
    <w:rsid w:val="00DC2266"/>
    <w:rsid w:val="00DD6532"/>
    <w:rsid w:val="00DE48B9"/>
    <w:rsid w:val="00E179F1"/>
    <w:rsid w:val="00E4491F"/>
    <w:rsid w:val="00E61ED9"/>
    <w:rsid w:val="00E866E2"/>
    <w:rsid w:val="00E92D39"/>
    <w:rsid w:val="00EB07F4"/>
    <w:rsid w:val="00EB1D22"/>
    <w:rsid w:val="00EB42F5"/>
    <w:rsid w:val="00EB4350"/>
    <w:rsid w:val="00ED7E08"/>
    <w:rsid w:val="00EE6FC9"/>
    <w:rsid w:val="00EF1D64"/>
    <w:rsid w:val="00F21AEE"/>
    <w:rsid w:val="00F464A2"/>
    <w:rsid w:val="00F562B3"/>
    <w:rsid w:val="00F57388"/>
    <w:rsid w:val="00F91257"/>
    <w:rsid w:val="00F94E56"/>
    <w:rsid w:val="00FA2711"/>
    <w:rsid w:val="00FB647C"/>
    <w:rsid w:val="00FC2C06"/>
    <w:rsid w:val="00FC5FBC"/>
    <w:rsid w:val="00FE3A70"/>
    <w:rsid w:val="00FF33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781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5">
    <w:lsdException w:name="Normal" w:uiPriority="0"/>
    <w:lsdException w:name="heading 1" w:uiPriority="3" w:qFormat="1"/>
    <w:lsdException w:name="heading 2" w:uiPriority="3" w:qFormat="1"/>
    <w:lsdException w:name="heading 3" w:uiPriority="3" w:qFormat="1"/>
    <w:lsdException w:name="heading 4" w:uiPriority="3"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uiPriority="5"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E61ED9"/>
  </w:style>
  <w:style w:type="paragraph" w:styleId="Heading1">
    <w:name w:val="heading 1"/>
    <w:aliases w:val="KTH Rubrik 1"/>
    <w:basedOn w:val="Normal"/>
    <w:next w:val="BodyText"/>
    <w:link w:val="Heading1Char"/>
    <w:uiPriority w:val="3"/>
    <w:qFormat/>
    <w:rsid w:val="003C5C7A"/>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3C5C7A"/>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3C5C7A"/>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style>
  <w:style w:type="character" w:customStyle="1" w:styleId="BodyTextChar">
    <w:name w:val="Body Text Char"/>
    <w:aliases w:val="KTH Brödtext Char"/>
    <w:basedOn w:val="DefaultParagraphFont"/>
    <w:link w:val="BodyText"/>
    <w:rsid w:val="00E61ED9"/>
  </w:style>
  <w:style w:type="paragraph" w:styleId="BodyText2">
    <w:name w:val="Body Text 2"/>
    <w:aliases w:val="KTH Brödtext 2"/>
    <w:basedOn w:val="BodyText"/>
    <w:link w:val="BodyText2Char"/>
    <w:uiPriority w:val="4"/>
    <w:rsid w:val="003C5C7A"/>
    <w:pPr>
      <w:ind w:firstLine="357"/>
    </w:pPr>
  </w:style>
  <w:style w:type="character" w:customStyle="1" w:styleId="BodyText2Char">
    <w:name w:val="Body Text 2 Char"/>
    <w:aliases w:val="KTH Brödtext 2 Char"/>
    <w:basedOn w:val="DefaultParagraphFont"/>
    <w:link w:val="BodyText2"/>
    <w:uiPriority w:val="4"/>
    <w:rsid w:val="00E61ED9"/>
  </w:style>
  <w:style w:type="character" w:customStyle="1" w:styleId="Heading1Char">
    <w:name w:val="Heading 1 Char"/>
    <w:aliases w:val="KTH Rubrik 1 Char"/>
    <w:basedOn w:val="DefaultParagraphFont"/>
    <w:link w:val="Heading1"/>
    <w:uiPriority w:val="3"/>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semiHidden/>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semiHidden/>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semiHidden/>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semiHidden/>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3C5C7A"/>
    <w:pPr>
      <w:numPr>
        <w:numId w:val="11"/>
      </w:numPr>
      <w:ind w:left="431" w:hanging="431"/>
    </w:pPr>
  </w:style>
  <w:style w:type="paragraph" w:customStyle="1" w:styleId="KTHnRubrik2">
    <w:name w:val="KTH nRubrik 2"/>
    <w:basedOn w:val="Heading2"/>
    <w:next w:val="BodyText"/>
    <w:uiPriority w:val="6"/>
    <w:qFormat/>
    <w:rsid w:val="003C5C7A"/>
    <w:pPr>
      <w:numPr>
        <w:ilvl w:val="1"/>
        <w:numId w:val="11"/>
      </w:numPr>
      <w:ind w:left="578" w:hanging="578"/>
    </w:pPr>
  </w:style>
  <w:style w:type="paragraph" w:customStyle="1" w:styleId="KTHnRubrik3">
    <w:name w:val="KTH nRubrik 3"/>
    <w:basedOn w:val="Heading3"/>
    <w:next w:val="BodyText"/>
    <w:uiPriority w:val="6"/>
    <w:qFormat/>
    <w:rsid w:val="003C5C7A"/>
    <w:pPr>
      <w:numPr>
        <w:ilvl w:val="2"/>
        <w:numId w:val="11"/>
      </w:numPr>
    </w:pPr>
  </w:style>
  <w:style w:type="paragraph" w:customStyle="1" w:styleId="KTHnRubrik4">
    <w:name w:val="KTH nRubrik 4"/>
    <w:basedOn w:val="Heading4"/>
    <w:next w:val="BodyText"/>
    <w:uiPriority w:val="6"/>
    <w:qFormat/>
    <w:rsid w:val="003C5C7A"/>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semiHidden/>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semiHidden/>
    <w:rsid w:val="001F3547"/>
    <w:pPr>
      <w:spacing w:after="100"/>
    </w:pPr>
  </w:style>
  <w:style w:type="paragraph" w:styleId="TOC2">
    <w:name w:val="toc 2"/>
    <w:basedOn w:val="Normal"/>
    <w:next w:val="Normal"/>
    <w:uiPriority w:val="39"/>
    <w:semiHidden/>
    <w:rsid w:val="001F3547"/>
    <w:pPr>
      <w:spacing w:after="100"/>
      <w:ind w:left="200"/>
    </w:pPr>
  </w:style>
  <w:style w:type="paragraph" w:styleId="TOC3">
    <w:name w:val="toc 3"/>
    <w:basedOn w:val="Normal"/>
    <w:next w:val="Normal"/>
    <w:uiPriority w:val="39"/>
    <w:semiHidden/>
    <w:rsid w:val="001F3547"/>
    <w:pPr>
      <w:spacing w:after="100"/>
      <w:ind w:left="400"/>
    </w:pPr>
  </w:style>
  <w:style w:type="paragraph" w:styleId="EnvelopeAddress">
    <w:name w:val="envelope address"/>
    <w:basedOn w:val="Normal"/>
    <w:uiPriority w:val="7"/>
    <w:semiHidden/>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Hyperlink">
    <w:name w:val="Hyperlink"/>
    <w:rsid w:val="00122CEC"/>
    <w:rPr>
      <w:color w:val="000000"/>
      <w:u w:val="single"/>
    </w:rPr>
  </w:style>
  <w:style w:type="paragraph" w:styleId="List">
    <w:name w:val="List"/>
    <w:rsid w:val="00122CEC"/>
    <w:pPr>
      <w:numPr>
        <w:numId w:val="13"/>
      </w:numPr>
      <w:spacing w:before="180"/>
    </w:pPr>
    <w:rPr>
      <w:rFonts w:ascii="Arial" w:eastAsia="SimSun" w:hAnsi="Arial" w:cs="Times New Roman"/>
      <w:sz w:val="22"/>
      <w:lang w:val="en-US"/>
    </w:rPr>
  </w:style>
  <w:style w:type="paragraph" w:styleId="ListParagraph">
    <w:name w:val="List Paragraph"/>
    <w:basedOn w:val="Normal"/>
    <w:uiPriority w:val="34"/>
    <w:qFormat/>
    <w:rsid w:val="00122CEC"/>
    <w:pPr>
      <w:spacing w:after="200" w:line="276" w:lineRule="auto"/>
      <w:ind w:left="720"/>
      <w:contextualSpacing/>
    </w:pPr>
    <w:rPr>
      <w:rFonts w:ascii="Calibri" w:eastAsia="Calibri" w:hAnsi="Calibri" w:cs="Times New Roman"/>
      <w:sz w:val="22"/>
      <w:szCs w:val="22"/>
      <w:lang w:val="en-US"/>
    </w:rPr>
  </w:style>
  <w:style w:type="paragraph" w:styleId="PlainText">
    <w:name w:val="Plain Text"/>
    <w:basedOn w:val="Normal"/>
    <w:link w:val="PlainTextChar"/>
    <w:uiPriority w:val="99"/>
    <w:semiHidden/>
    <w:unhideWhenUsed/>
    <w:rsid w:val="00C0194B"/>
    <w:rPr>
      <w:rFonts w:ascii="Calibri" w:hAnsi="Calibri"/>
      <w:sz w:val="22"/>
      <w:szCs w:val="21"/>
      <w:lang w:val="en-US"/>
    </w:rPr>
  </w:style>
  <w:style w:type="character" w:customStyle="1" w:styleId="PlainTextChar">
    <w:name w:val="Plain Text Char"/>
    <w:basedOn w:val="DefaultParagraphFont"/>
    <w:link w:val="PlainText"/>
    <w:uiPriority w:val="99"/>
    <w:semiHidden/>
    <w:rsid w:val="00C0194B"/>
    <w:rPr>
      <w:rFonts w:ascii="Calibri" w:hAnsi="Calibri"/>
      <w:sz w:val="22"/>
      <w:szCs w:val="21"/>
      <w:lang w:val="en-US"/>
    </w:rPr>
  </w:style>
  <w:style w:type="character" w:customStyle="1" w:styleId="ng-binding">
    <w:name w:val="ng-binding"/>
    <w:basedOn w:val="DefaultParagraphFont"/>
    <w:rsid w:val="00DD6532"/>
  </w:style>
  <w:style w:type="character" w:styleId="Strong">
    <w:name w:val="Strong"/>
    <w:basedOn w:val="DefaultParagraphFont"/>
    <w:uiPriority w:val="22"/>
    <w:qFormat/>
    <w:rsid w:val="00136BAE"/>
    <w:rPr>
      <w:b/>
      <w:bCs/>
    </w:rPr>
  </w:style>
  <w:style w:type="character" w:styleId="UnresolvedMention">
    <w:name w:val="Unresolved Mention"/>
    <w:basedOn w:val="DefaultParagraphFont"/>
    <w:uiPriority w:val="99"/>
    <w:semiHidden/>
    <w:unhideWhenUsed/>
    <w:rsid w:val="00136BAE"/>
    <w:rPr>
      <w:color w:val="808080"/>
      <w:shd w:val="clear" w:color="auto" w:fill="E6E6E6"/>
    </w:rPr>
  </w:style>
  <w:style w:type="character" w:customStyle="1" w:styleId="authors-info">
    <w:name w:val="authors-info"/>
    <w:basedOn w:val="DefaultParagraphFont"/>
    <w:rsid w:val="003D6D62"/>
  </w:style>
  <w:style w:type="character" w:customStyle="1" w:styleId="ng-scope">
    <w:name w:val="ng-scope"/>
    <w:basedOn w:val="DefaultParagraphFont"/>
    <w:rsid w:val="003D6D62"/>
  </w:style>
  <w:style w:type="character" w:styleId="FollowedHyperlink">
    <w:name w:val="FollowedHyperlink"/>
    <w:basedOn w:val="DefaultParagraphFont"/>
    <w:uiPriority w:val="99"/>
    <w:semiHidden/>
    <w:unhideWhenUsed/>
    <w:rsid w:val="00FB647C"/>
    <w:rPr>
      <w:color w:val="800080" w:themeColor="followedHyperlink"/>
      <w:u w:val="single"/>
    </w:rPr>
  </w:style>
  <w:style w:type="paragraph" w:styleId="NormalWeb">
    <w:name w:val="Normal (Web)"/>
    <w:basedOn w:val="Normal"/>
    <w:uiPriority w:val="99"/>
    <w:semiHidden/>
    <w:unhideWhenUsed/>
    <w:rsid w:val="00ED7E08"/>
    <w:pPr>
      <w:spacing w:before="100" w:beforeAutospacing="1" w:after="100" w:afterAutospacing="1"/>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ED7E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356388">
      <w:bodyDiv w:val="1"/>
      <w:marLeft w:val="0"/>
      <w:marRight w:val="0"/>
      <w:marTop w:val="0"/>
      <w:marBottom w:val="0"/>
      <w:divBdr>
        <w:top w:val="none" w:sz="0" w:space="0" w:color="auto"/>
        <w:left w:val="none" w:sz="0" w:space="0" w:color="auto"/>
        <w:bottom w:val="none" w:sz="0" w:space="0" w:color="auto"/>
        <w:right w:val="none" w:sz="0" w:space="0" w:color="auto"/>
      </w:divBdr>
    </w:div>
    <w:div w:id="352731524">
      <w:bodyDiv w:val="1"/>
      <w:marLeft w:val="0"/>
      <w:marRight w:val="0"/>
      <w:marTop w:val="0"/>
      <w:marBottom w:val="0"/>
      <w:divBdr>
        <w:top w:val="none" w:sz="0" w:space="0" w:color="auto"/>
        <w:left w:val="none" w:sz="0" w:space="0" w:color="auto"/>
        <w:bottom w:val="none" w:sz="0" w:space="0" w:color="auto"/>
        <w:right w:val="none" w:sz="0" w:space="0" w:color="auto"/>
      </w:divBdr>
      <w:divsChild>
        <w:div w:id="1508715797">
          <w:marLeft w:val="0"/>
          <w:marRight w:val="0"/>
          <w:marTop w:val="0"/>
          <w:marBottom w:val="0"/>
          <w:divBdr>
            <w:top w:val="none" w:sz="0" w:space="0" w:color="auto"/>
            <w:left w:val="none" w:sz="0" w:space="0" w:color="auto"/>
            <w:bottom w:val="none" w:sz="0" w:space="0" w:color="auto"/>
            <w:right w:val="none" w:sz="0" w:space="0" w:color="auto"/>
          </w:divBdr>
        </w:div>
      </w:divsChild>
    </w:div>
    <w:div w:id="940643849">
      <w:bodyDiv w:val="1"/>
      <w:marLeft w:val="0"/>
      <w:marRight w:val="0"/>
      <w:marTop w:val="0"/>
      <w:marBottom w:val="0"/>
      <w:divBdr>
        <w:top w:val="none" w:sz="0" w:space="0" w:color="auto"/>
        <w:left w:val="none" w:sz="0" w:space="0" w:color="auto"/>
        <w:bottom w:val="none" w:sz="0" w:space="0" w:color="auto"/>
        <w:right w:val="none" w:sz="0" w:space="0" w:color="auto"/>
      </w:divBdr>
    </w:div>
    <w:div w:id="985553981">
      <w:bodyDiv w:val="1"/>
      <w:marLeft w:val="0"/>
      <w:marRight w:val="0"/>
      <w:marTop w:val="0"/>
      <w:marBottom w:val="0"/>
      <w:divBdr>
        <w:top w:val="none" w:sz="0" w:space="0" w:color="auto"/>
        <w:left w:val="none" w:sz="0" w:space="0" w:color="auto"/>
        <w:bottom w:val="none" w:sz="0" w:space="0" w:color="auto"/>
        <w:right w:val="none" w:sz="0" w:space="0" w:color="auto"/>
      </w:divBdr>
    </w:div>
    <w:div w:id="1003705686">
      <w:bodyDiv w:val="1"/>
      <w:marLeft w:val="0"/>
      <w:marRight w:val="0"/>
      <w:marTop w:val="0"/>
      <w:marBottom w:val="0"/>
      <w:divBdr>
        <w:top w:val="none" w:sz="0" w:space="0" w:color="auto"/>
        <w:left w:val="none" w:sz="0" w:space="0" w:color="auto"/>
        <w:bottom w:val="none" w:sz="0" w:space="0" w:color="auto"/>
        <w:right w:val="none" w:sz="0" w:space="0" w:color="auto"/>
      </w:divBdr>
    </w:div>
    <w:div w:id="1087381566">
      <w:bodyDiv w:val="1"/>
      <w:marLeft w:val="0"/>
      <w:marRight w:val="0"/>
      <w:marTop w:val="0"/>
      <w:marBottom w:val="0"/>
      <w:divBdr>
        <w:top w:val="none" w:sz="0" w:space="0" w:color="auto"/>
        <w:left w:val="none" w:sz="0" w:space="0" w:color="auto"/>
        <w:bottom w:val="none" w:sz="0" w:space="0" w:color="auto"/>
        <w:right w:val="none" w:sz="0" w:space="0" w:color="auto"/>
      </w:divBdr>
    </w:div>
    <w:div w:id="1116948447">
      <w:bodyDiv w:val="1"/>
      <w:marLeft w:val="0"/>
      <w:marRight w:val="0"/>
      <w:marTop w:val="0"/>
      <w:marBottom w:val="0"/>
      <w:divBdr>
        <w:top w:val="none" w:sz="0" w:space="0" w:color="auto"/>
        <w:left w:val="none" w:sz="0" w:space="0" w:color="auto"/>
        <w:bottom w:val="none" w:sz="0" w:space="0" w:color="auto"/>
        <w:right w:val="none" w:sz="0" w:space="0" w:color="auto"/>
      </w:divBdr>
    </w:div>
    <w:div w:id="1480538982">
      <w:bodyDiv w:val="1"/>
      <w:marLeft w:val="0"/>
      <w:marRight w:val="0"/>
      <w:marTop w:val="0"/>
      <w:marBottom w:val="0"/>
      <w:divBdr>
        <w:top w:val="none" w:sz="0" w:space="0" w:color="auto"/>
        <w:left w:val="none" w:sz="0" w:space="0" w:color="auto"/>
        <w:bottom w:val="none" w:sz="0" w:space="0" w:color="auto"/>
        <w:right w:val="none" w:sz="0" w:space="0" w:color="auto"/>
      </w:divBdr>
    </w:div>
    <w:div w:id="1751078280">
      <w:bodyDiv w:val="1"/>
      <w:marLeft w:val="0"/>
      <w:marRight w:val="0"/>
      <w:marTop w:val="0"/>
      <w:marBottom w:val="0"/>
      <w:divBdr>
        <w:top w:val="none" w:sz="0" w:space="0" w:color="auto"/>
        <w:left w:val="none" w:sz="0" w:space="0" w:color="auto"/>
        <w:bottom w:val="none" w:sz="0" w:space="0" w:color="auto"/>
        <w:right w:val="none" w:sz="0" w:space="0" w:color="auto"/>
      </w:divBdr>
    </w:div>
    <w:div w:id="1933466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kth.diva-portal.org/smash/record.jsf?aq2=%5B%5B%5D%5D&amp;c=2&amp;af=%5B%22dateIssued%3A2016%22%5D&amp;searchType=SIMPLE&amp;query=&amp;language=en&amp;pid=diva2%3A967628&amp;aq=%5B%5B%7B%22personId%22%3A%22u1cec4wg+OR+0000-0002-2289-3159%22%7D%5D%5D&amp;sf=all&amp;aqe=%5B%5D&amp;sortOrder=author_sort_asc&amp;onlyFullText=false&amp;noOfRows=50&amp;dswid=-55" TargetMode="External"/><Relationship Id="rId18" Type="http://schemas.openxmlformats.org/officeDocument/2006/relationships/hyperlink" Target="http://ieeexplore.ieee.org/document/7842416/" TargetMode="External"/><Relationship Id="rId26" Type="http://schemas.openxmlformats.org/officeDocument/2006/relationships/hyperlink" Target="https://arxiv.org/find/cs/1/au:+Yanikomeroglu_H/0/1/0/all/0/1"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arxiv.org/find/cs/1/au:+Mikhaylov_K/0/1/0/all/0/1" TargetMode="External"/><Relationship Id="rId34" Type="http://schemas.openxmlformats.org/officeDocument/2006/relationships/header" Target="header1.xml"/><Relationship Id="rId7" Type="http://schemas.openxmlformats.org/officeDocument/2006/relationships/hyperlink" Target="https://www.kth.se/profile/gaborf/page/buse" TargetMode="External"/><Relationship Id="rId12" Type="http://schemas.openxmlformats.org/officeDocument/2006/relationships/hyperlink" Target="http://ieeexplore.ieee.org/document/7557082/" TargetMode="External"/><Relationship Id="rId17" Type="http://schemas.openxmlformats.org/officeDocument/2006/relationships/hyperlink" Target="http://kth.diva-portal.org/smash/record.jsf?aq2=%5B%5B%5D%5D&amp;c=7&amp;af=%5B%22dateIssued%3A2016%22%5D&amp;searchType=SIMPLE&amp;query=&amp;language=en&amp;pid=diva2%3A949544&amp;aq=%5B%5B%7B%22personId%22%3A%22u1cec4wg+OR+0000-0002-2289-3159%22%7D%5D%5D&amp;sf=all&amp;aqe=%5B%5D&amp;sortOrder=author_sort_asc&amp;onlyFullText=false&amp;noOfRows=50&amp;dswid=-697" TargetMode="External"/><Relationship Id="rId25" Type="http://schemas.openxmlformats.org/officeDocument/2006/relationships/hyperlink" Target="https://arxiv.org/find/cs/1/au:+Torsner_J/0/1/0/all/0/1" TargetMode="External"/><Relationship Id="rId33" Type="http://schemas.openxmlformats.org/officeDocument/2006/relationships/hyperlink" Target="http://ieeexplore.ieee.org/search/searchresult.jsp?searchWithin=%22Authors%22:.QT.Caire,%20G..QT.&amp;newsearch=true"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ieeexplore.ieee.org/document/7500139/?arnumber=7500139" TargetMode="External"/><Relationship Id="rId20" Type="http://schemas.openxmlformats.org/officeDocument/2006/relationships/hyperlink" Target="https://arxiv.org/find/cs/1/au:+Petrov_V/0/1/0/all/0/1" TargetMode="External"/><Relationship Id="rId29" Type="http://schemas.openxmlformats.org/officeDocument/2006/relationships/hyperlink" Target="https://arxiv.org/abs/1703.0054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kth.diva-portal.org/smash/record.jsf?aq2=%5B%5B%5D%5D&amp;c=1&amp;af=%5B%22dateIssued%3A2016%22%5D&amp;searchType=SIMPLE&amp;query=&amp;language=en&amp;pid=diva2%3A1081795&amp;aq=%5B%5B%7B%22personId%22%3A%22u1cec4wg+OR+0000-0002-2289-3159%22%7D%5D%5D&amp;sf=all&amp;aqe=%5B%5D&amp;sortOrder=author_sort_asc&amp;onlyFullText=false&amp;noOfRows=50&amp;dswid=-7489" TargetMode="External"/><Relationship Id="rId24" Type="http://schemas.openxmlformats.org/officeDocument/2006/relationships/hyperlink" Target="https://arxiv.org/find/cs/1/au:+Fodor_G/0/1/0/all/0/1" TargetMode="External"/><Relationship Id="rId32" Type="http://schemas.openxmlformats.org/officeDocument/2006/relationships/hyperlink" Target="http://ieeexplore.ieee.org/search/searchresult.jsp?searchWithin=%22Authors%22:.QT.Dimakis,%20A.G..QT.&amp;newsearch=true" TargetMode="External"/><Relationship Id="rId37"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kth.diva-portal.org/smash/record.jsf?aq2=%5B%5B%5D%5D&amp;c=14&amp;af=%5B%22dateIssued%3A2016%22%5D&amp;searchType=SIMPLE&amp;query=&amp;language=en&amp;pid=diva2%3A1057718&amp;aq=%5B%5B%7B%22personId%22%3A%22u1cec4wg+OR+0000-0002-2289-3159%22%7D%5D%5D&amp;sf=all&amp;aqe=%5B%5D&amp;sortOrder=author_sort_asc&amp;onlyFullText=false&amp;noOfRows=50&amp;dswid=6043" TargetMode="External"/><Relationship Id="rId23" Type="http://schemas.openxmlformats.org/officeDocument/2006/relationships/hyperlink" Target="https://arxiv.org/find/cs/1/au:+Andreev_S/0/1/0/all/0/1" TargetMode="External"/><Relationship Id="rId28" Type="http://schemas.openxmlformats.org/officeDocument/2006/relationships/hyperlink" Target="https://arxiv.org/find/cs/1/au:+Koucheryavy_Y/0/1/0/all/0/1" TargetMode="External"/><Relationship Id="rId36" Type="http://schemas.openxmlformats.org/officeDocument/2006/relationships/header" Target="header2.xml"/><Relationship Id="rId10" Type="http://schemas.openxmlformats.org/officeDocument/2006/relationships/hyperlink" Target="http://ieeexplore.ieee.org/document/7553033/" TargetMode="External"/><Relationship Id="rId19" Type="http://schemas.openxmlformats.org/officeDocument/2006/relationships/hyperlink" Target="http://kth.diva-portal.org/smash/record.jsf?aq2=%5B%5B%5D%5D&amp;c=7&amp;af=%5B%22dateIssued%3A2017%22%5D&amp;searchType=SIMPLE&amp;query=&amp;language=en&amp;pid=diva2%3A1088728&amp;aq=%5B%5B%7B%22personId%22%3A%22u1cec4wg+OR+0000-0002-2289-3159%22%7D%5D%5D&amp;sf=all&amp;aqe=%5B%5D&amp;sortOrder=author_sort_asc&amp;onlyFullText=false&amp;noOfRows=50&amp;dswid=-3342" TargetMode="External"/><Relationship Id="rId31" Type="http://schemas.openxmlformats.org/officeDocument/2006/relationships/hyperlink" Target="http://ieeexplore.ieee.org/search/searchresult.jsp?searchWithin=%22Authors%22:.QT.Molisch,%20A.F..QT.&amp;newsearch=true"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ieeexplore.ieee.org/document/7744806/" TargetMode="External"/><Relationship Id="rId22" Type="http://schemas.openxmlformats.org/officeDocument/2006/relationships/hyperlink" Target="https://arxiv.org/find/cs/1/au:+Moltchanov_D/0/1/0/all/0/1" TargetMode="External"/><Relationship Id="rId27" Type="http://schemas.openxmlformats.org/officeDocument/2006/relationships/hyperlink" Target="https://arxiv.org/find/cs/1/au:+Juntti_M/0/1/0/all/0/1" TargetMode="External"/><Relationship Id="rId30" Type="http://schemas.openxmlformats.org/officeDocument/2006/relationships/hyperlink" Target="http://ieeexplore.ieee.org/search/searchresult.jsp?searchWithin=%22Authors%22:.QT.Golrezaei,%20N..QT.&amp;newsearch=true" TargetMode="External"/><Relationship Id="rId35"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S:\STAFF\OFFICE\TEMPLATES\KTH_Grundmall.dotx"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KTH_Grundmall</Template>
  <TotalTime>0</TotalTime>
  <Pages>4</Pages>
  <Words>2001</Words>
  <Characters>11408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2017-09-17T06:27:00Z</dcterms:created>
  <dcterms:modified xsi:type="dcterms:W3CDTF">2017-09-17T08:31:00Z</dcterms:modified>
</cp:coreProperties>
</file>