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Titillium Web" w:cs="Titillium Web" w:eastAsia="Titillium Web" w:hAnsi="Titillium Web"/>
          <w:sz w:val="40"/>
          <w:szCs w:val="40"/>
        </w:rPr>
      </w:pPr>
      <w:bookmarkStart w:colFirst="0" w:colLast="0" w:name="_blr9w99x0s46" w:id="0"/>
      <w:bookmarkEnd w:id="0"/>
      <w:r w:rsidDel="00000000" w:rsidR="00000000" w:rsidRPr="00000000">
        <w:rPr>
          <w:rFonts w:ascii="Titillium Web" w:cs="Titillium Web" w:eastAsia="Titillium Web" w:hAnsi="Titillium Web"/>
          <w:b w:val="1"/>
          <w:color w:val="40b498"/>
          <w:sz w:val="40"/>
          <w:szCs w:val="40"/>
          <w:rtl w:val="0"/>
        </w:rPr>
        <w:t xml:space="preserve">Master's Thesis: Energy Efficiency in 5G Multi-Operator Indoor Systems Utilizing Fiber-to-the-Antenna (FTTA)</w:t>
      </w:r>
      <w:r w:rsidDel="00000000" w:rsidR="00000000" w:rsidRPr="00000000">
        <w:rPr>
          <w:rtl w:val="0"/>
        </w:rPr>
      </w:r>
    </w:p>
    <w:p w:rsidR="00000000" w:rsidDel="00000000" w:rsidP="00000000" w:rsidRDefault="00000000" w:rsidRPr="00000000" w14:paraId="00000002">
      <w:pPr>
        <w:rPr>
          <w:color w:val="40b498"/>
        </w:rPr>
      </w:pPr>
      <w:r w:rsidDel="00000000" w:rsidR="00000000" w:rsidRPr="00000000">
        <w:rPr>
          <w:rtl w:val="0"/>
        </w:rPr>
      </w:r>
    </w:p>
    <w:p w:rsidR="00000000" w:rsidDel="00000000" w:rsidP="00000000" w:rsidRDefault="00000000" w:rsidRPr="00000000" w14:paraId="00000003">
      <w:pPr>
        <w:spacing w:before="200" w:lineRule="auto"/>
        <w:jc w:val="both"/>
        <w:rPr>
          <w:rFonts w:ascii="Source Sans 3 Light" w:cs="Source Sans 3 Light" w:eastAsia="Source Sans 3 Light" w:hAnsi="Source Sans 3 Light"/>
        </w:rPr>
      </w:pPr>
      <w:r w:rsidDel="00000000" w:rsidR="00000000" w:rsidRPr="00000000">
        <w:rPr>
          <w:rFonts w:ascii="Source Sans 3 Light" w:cs="Source Sans 3 Light" w:eastAsia="Source Sans 3 Light" w:hAnsi="Source Sans 3 Light"/>
          <w:sz w:val="22"/>
          <w:szCs w:val="22"/>
          <w:rtl w:val="0"/>
        </w:rPr>
        <w:t xml:space="preserve">DocID: SE2508-008 </w:t>
        <w:br w:type="textWrapping"/>
        <w:t xml:space="preserve">Revision: A1</w:t>
        <w:br w:type="textWrapping"/>
        <w:t xml:space="preserve">Class: Confidential, </w:t>
        <w:br w:type="textWrapping"/>
        <w:t xml:space="preserve">Date: 2025-08-29</w:t>
      </w:r>
      <w:r w:rsidDel="00000000" w:rsidR="00000000" w:rsidRPr="00000000">
        <w:rPr>
          <w:rtl w:val="0"/>
        </w:rPr>
      </w:r>
    </w:p>
    <w:p w:rsidR="00000000" w:rsidDel="00000000" w:rsidP="00000000" w:rsidRDefault="00000000" w:rsidRPr="00000000" w14:paraId="00000004">
      <w:pPr>
        <w:pStyle w:val="Heading1"/>
        <w:spacing w:after="120" w:before="400" w:lineRule="auto"/>
        <w:jc w:val="both"/>
        <w:rPr>
          <w:rFonts w:ascii="Varela Round" w:cs="Varela Round" w:eastAsia="Varela Round" w:hAnsi="Varela Round"/>
          <w:b w:val="0"/>
          <w:sz w:val="44"/>
          <w:szCs w:val="44"/>
        </w:rPr>
      </w:pPr>
      <w:bookmarkStart w:colFirst="0" w:colLast="0" w:name="_8gxj1h464ldc" w:id="1"/>
      <w:bookmarkEnd w:id="1"/>
      <w:r w:rsidDel="00000000" w:rsidR="00000000" w:rsidRPr="00000000">
        <w:rPr>
          <w:sz w:val="44"/>
          <w:szCs w:val="44"/>
          <w:rtl w:val="0"/>
        </w:rPr>
        <w:t xml:space="preserve">Revision history</w:t>
      </w:r>
      <w:r w:rsidDel="00000000" w:rsidR="00000000" w:rsidRPr="00000000">
        <w:rPr>
          <w:rtl w:val="0"/>
        </w:rPr>
      </w:r>
    </w:p>
    <w:tbl>
      <w:tblPr>
        <w:tblStyle w:val="Table1"/>
        <w:tblW w:w="85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95"/>
        <w:gridCol w:w="705"/>
        <w:gridCol w:w="5355"/>
        <w:gridCol w:w="1065"/>
        <w:tblGridChange w:id="0">
          <w:tblGrid>
            <w:gridCol w:w="1395"/>
            <w:gridCol w:w="705"/>
            <w:gridCol w:w="5355"/>
            <w:gridCol w:w="1065"/>
          </w:tblGrid>
        </w:tblGridChange>
      </w:tblGrid>
      <w:tr>
        <w:trPr>
          <w:cantSplit w:val="0"/>
          <w:trHeight w:val="518.28" w:hRule="atLeast"/>
          <w:tblHeader w:val="0"/>
        </w:trPr>
        <w:tc>
          <w:tcPr>
            <w:shd w:fill="40b498" w:val="clear"/>
            <w:tcMar>
              <w:top w:w="100.0" w:type="dxa"/>
              <w:left w:w="100.0" w:type="dxa"/>
              <w:bottom w:w="100.0" w:type="dxa"/>
              <w:right w:w="100.0" w:type="dxa"/>
            </w:tcMar>
            <w:vAlign w:val="top"/>
          </w:tcPr>
          <w:p w:rsidR="00000000" w:rsidDel="00000000" w:rsidP="00000000" w:rsidRDefault="00000000" w:rsidRPr="00000000" w14:paraId="00000005">
            <w:pPr>
              <w:widowControl w:val="0"/>
              <w:spacing w:before="0" w:line="240" w:lineRule="auto"/>
              <w:jc w:val="both"/>
              <w:rPr>
                <w:color w:val="ffffff"/>
                <w:sz w:val="22"/>
                <w:szCs w:val="22"/>
              </w:rPr>
            </w:pPr>
            <w:r w:rsidDel="00000000" w:rsidR="00000000" w:rsidRPr="00000000">
              <w:rPr>
                <w:color w:val="ffffff"/>
                <w:sz w:val="22"/>
                <w:szCs w:val="22"/>
                <w:rtl w:val="0"/>
              </w:rPr>
              <w:t xml:space="preserve">Date</w:t>
            </w:r>
          </w:p>
        </w:tc>
        <w:tc>
          <w:tcPr>
            <w:shd w:fill="40b498" w:val="clear"/>
            <w:tcMar>
              <w:top w:w="100.0" w:type="dxa"/>
              <w:left w:w="100.0" w:type="dxa"/>
              <w:bottom w:w="100.0" w:type="dxa"/>
              <w:right w:w="100.0" w:type="dxa"/>
            </w:tcMar>
            <w:vAlign w:val="top"/>
          </w:tcPr>
          <w:p w:rsidR="00000000" w:rsidDel="00000000" w:rsidP="00000000" w:rsidRDefault="00000000" w:rsidRPr="00000000" w14:paraId="00000006">
            <w:pPr>
              <w:widowControl w:val="0"/>
              <w:spacing w:before="0" w:line="240" w:lineRule="auto"/>
              <w:jc w:val="center"/>
              <w:rPr>
                <w:color w:val="ffffff"/>
                <w:sz w:val="22"/>
                <w:szCs w:val="22"/>
              </w:rPr>
            </w:pPr>
            <w:r w:rsidDel="00000000" w:rsidR="00000000" w:rsidRPr="00000000">
              <w:rPr>
                <w:color w:val="ffffff"/>
                <w:sz w:val="22"/>
                <w:szCs w:val="22"/>
                <w:rtl w:val="0"/>
              </w:rPr>
              <w:t xml:space="preserve">Rev</w:t>
            </w:r>
          </w:p>
        </w:tc>
        <w:tc>
          <w:tcPr>
            <w:shd w:fill="40b498" w:val="clear"/>
            <w:tcMar>
              <w:top w:w="100.0" w:type="dxa"/>
              <w:left w:w="100.0" w:type="dxa"/>
              <w:bottom w:w="100.0" w:type="dxa"/>
              <w:right w:w="100.0" w:type="dxa"/>
            </w:tcMar>
            <w:vAlign w:val="top"/>
          </w:tcPr>
          <w:p w:rsidR="00000000" w:rsidDel="00000000" w:rsidP="00000000" w:rsidRDefault="00000000" w:rsidRPr="00000000" w14:paraId="00000007">
            <w:pPr>
              <w:widowControl w:val="0"/>
              <w:spacing w:before="0" w:line="240" w:lineRule="auto"/>
              <w:jc w:val="both"/>
              <w:rPr>
                <w:color w:val="ffffff"/>
                <w:sz w:val="22"/>
                <w:szCs w:val="22"/>
              </w:rPr>
            </w:pPr>
            <w:r w:rsidDel="00000000" w:rsidR="00000000" w:rsidRPr="00000000">
              <w:rPr>
                <w:color w:val="ffffff"/>
                <w:sz w:val="22"/>
                <w:szCs w:val="22"/>
                <w:rtl w:val="0"/>
              </w:rPr>
              <w:t xml:space="preserve">Description</w:t>
            </w:r>
          </w:p>
        </w:tc>
        <w:tc>
          <w:tcPr>
            <w:shd w:fill="40b498" w:val="clear"/>
            <w:tcMar>
              <w:top w:w="100.0" w:type="dxa"/>
              <w:left w:w="100.0" w:type="dxa"/>
              <w:bottom w:w="100.0" w:type="dxa"/>
              <w:right w:w="100.0" w:type="dxa"/>
            </w:tcMar>
            <w:vAlign w:val="top"/>
          </w:tcPr>
          <w:p w:rsidR="00000000" w:rsidDel="00000000" w:rsidP="00000000" w:rsidRDefault="00000000" w:rsidRPr="00000000" w14:paraId="00000008">
            <w:pPr>
              <w:widowControl w:val="0"/>
              <w:spacing w:before="0" w:line="240" w:lineRule="auto"/>
              <w:jc w:val="center"/>
              <w:rPr>
                <w:color w:val="ffffff"/>
                <w:sz w:val="22"/>
                <w:szCs w:val="22"/>
              </w:rPr>
            </w:pPr>
            <w:r w:rsidDel="00000000" w:rsidR="00000000" w:rsidRPr="00000000">
              <w:rPr>
                <w:color w:val="ffffff"/>
                <w:sz w:val="22"/>
                <w:szCs w:val="22"/>
                <w:rtl w:val="0"/>
              </w:rPr>
              <w:t xml:space="preserve">Sign</w:t>
            </w:r>
          </w:p>
        </w:tc>
      </w:tr>
      <w:tr>
        <w:trPr>
          <w:cantSplit w:val="0"/>
          <w:trHeight w:val="518.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before="0" w:line="240" w:lineRule="auto"/>
              <w:jc w:val="both"/>
              <w:rPr>
                <w:sz w:val="22"/>
                <w:szCs w:val="22"/>
              </w:rPr>
            </w:pPr>
            <w:r w:rsidDel="00000000" w:rsidR="00000000" w:rsidRPr="00000000">
              <w:rPr>
                <w:sz w:val="22"/>
                <w:szCs w:val="22"/>
                <w:rtl w:val="0"/>
              </w:rPr>
              <w:t xml:space="preserve">2025-08-29</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before="0" w:line="240" w:lineRule="auto"/>
              <w:jc w:val="center"/>
              <w:rPr>
                <w:sz w:val="22"/>
                <w:szCs w:val="22"/>
              </w:rPr>
            </w:pPr>
            <w:r w:rsidDel="00000000" w:rsidR="00000000" w:rsidRPr="00000000">
              <w:rPr>
                <w:sz w:val="22"/>
                <w:szCs w:val="22"/>
                <w:rtl w:val="0"/>
              </w:rPr>
              <w:t xml:space="preserve">A1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before="0" w:line="240" w:lineRule="auto"/>
              <w:jc w:val="both"/>
              <w:rPr>
                <w:sz w:val="22"/>
                <w:szCs w:val="22"/>
              </w:rPr>
            </w:pPr>
            <w:r w:rsidDel="00000000" w:rsidR="00000000" w:rsidRPr="00000000">
              <w:rPr>
                <w:sz w:val="22"/>
                <w:szCs w:val="22"/>
                <w:rtl w:val="0"/>
              </w:rPr>
              <w:t xml:space="preserve">Master's Thesis: Energy Efficiency in 5G Multi-Operator Indoor Systems Utilizing Fiber-to-the-Antenna (FTTA)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before="0" w:line="240" w:lineRule="auto"/>
              <w:jc w:val="center"/>
              <w:rPr>
                <w:sz w:val="22"/>
                <w:szCs w:val="22"/>
              </w:rPr>
            </w:pPr>
            <w:r w:rsidDel="00000000" w:rsidR="00000000" w:rsidRPr="00000000">
              <w:rPr>
                <w:sz w:val="22"/>
                <w:szCs w:val="22"/>
                <w:rtl w:val="0"/>
              </w:rPr>
              <w:t xml:space="preserve">PATJI</w:t>
            </w:r>
          </w:p>
        </w:tc>
      </w:tr>
      <w:tr>
        <w:trPr>
          <w:cantSplit w:val="0"/>
          <w:trHeight w:val="518.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before="0" w:line="240" w:lineRule="auto"/>
              <w:jc w:val="both"/>
              <w:rPr>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before="0" w:line="240" w:lineRule="auto"/>
              <w:jc w:val="center"/>
              <w:rPr>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before="0" w:line="240" w:lineRule="auto"/>
              <w:jc w:val="both"/>
              <w:rPr>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before="0" w:line="240" w:lineRule="auto"/>
              <w:jc w:val="center"/>
              <w:rPr>
                <w:sz w:val="22"/>
                <w:szCs w:val="22"/>
              </w:rPr>
            </w:pPr>
            <w:r w:rsidDel="00000000" w:rsidR="00000000" w:rsidRPr="00000000">
              <w:rPr>
                <w:rtl w:val="0"/>
              </w:rPr>
            </w:r>
          </w:p>
        </w:tc>
      </w:tr>
      <w:tr>
        <w:trPr>
          <w:cantSplit w:val="0"/>
          <w:trHeight w:val="518.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before="0" w:line="240" w:lineRule="auto"/>
              <w:jc w:val="both"/>
              <w:rPr>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before="0" w:line="240" w:lineRule="auto"/>
              <w:jc w:val="center"/>
              <w:rPr>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before="0" w:line="240" w:lineRule="auto"/>
              <w:jc w:val="both"/>
              <w:rPr>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before="0" w:line="240" w:lineRule="auto"/>
              <w:jc w:val="center"/>
              <w:rPr>
                <w:sz w:val="22"/>
                <w:szCs w:val="22"/>
              </w:rPr>
            </w:pPr>
            <w:r w:rsidDel="00000000" w:rsidR="00000000" w:rsidRPr="00000000">
              <w:rPr>
                <w:rtl w:val="0"/>
              </w:rPr>
            </w:r>
          </w:p>
        </w:tc>
      </w:tr>
    </w:tbl>
    <w:p w:rsidR="00000000" w:rsidDel="00000000" w:rsidP="00000000" w:rsidRDefault="00000000" w:rsidRPr="00000000" w14:paraId="00000015">
      <w:pPr>
        <w:spacing w:before="200" w:lineRule="auto"/>
        <w:jc w:val="both"/>
        <w:rPr>
          <w:rFonts w:ascii="Metrophobic" w:cs="Metrophobic" w:eastAsia="Metrophobic" w:hAnsi="Metrophobic"/>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6">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17">
      <w:pPr>
        <w:pStyle w:val="Title"/>
        <w:jc w:val="both"/>
        <w:rPr>
          <w:rFonts w:ascii="Titillium Web" w:cs="Titillium Web" w:eastAsia="Titillium Web" w:hAnsi="Titillium Web"/>
          <w:b w:val="1"/>
          <w:color w:val="40b498"/>
          <w:sz w:val="36"/>
          <w:szCs w:val="36"/>
        </w:rPr>
      </w:pPr>
      <w:bookmarkStart w:colFirst="0" w:colLast="0" w:name="_jvxgf662uyrv" w:id="2"/>
      <w:bookmarkEnd w:id="2"/>
      <w:r w:rsidDel="00000000" w:rsidR="00000000" w:rsidRPr="00000000">
        <w:rPr>
          <w:rFonts w:ascii="Titillium Web" w:cs="Titillium Web" w:eastAsia="Titillium Web" w:hAnsi="Titillium Web"/>
          <w:b w:val="1"/>
          <w:color w:val="40b498"/>
          <w:sz w:val="36"/>
          <w:szCs w:val="36"/>
          <w:rtl w:val="0"/>
        </w:rPr>
        <w:t xml:space="preserve">Master's Thesis: Energy Efficiency in 5G Multi-Operator Indoor Systems Utilizing Fiber-to-the-Antenna (FTTA)</w:t>
      </w:r>
    </w:p>
    <w:p w:rsidR="00000000" w:rsidDel="00000000" w:rsidP="00000000" w:rsidRDefault="00000000" w:rsidRPr="00000000" w14:paraId="00000018">
      <w:pPr>
        <w:widowControl w:val="0"/>
        <w:spacing w:after="240" w:before="0" w:line="275.9999942779541" w:lineRule="auto"/>
        <w:rPr/>
      </w:pPr>
      <w:r w:rsidDel="00000000" w:rsidR="00000000" w:rsidRPr="00000000">
        <w:rPr>
          <w:rtl w:val="0"/>
        </w:rPr>
        <w:t xml:space="preserve">This thesis will investigate the</w:t>
      </w:r>
      <w:r w:rsidDel="00000000" w:rsidR="00000000" w:rsidRPr="00000000">
        <w:rPr>
          <w:b w:val="1"/>
          <w:rtl w:val="0"/>
        </w:rPr>
        <w:t xml:space="preserve"> impact of diverse 5G traffic scenarios on energy consumption </w:t>
      </w:r>
      <w:r w:rsidDel="00000000" w:rsidR="00000000" w:rsidRPr="00000000">
        <w:rPr>
          <w:rtl w:val="0"/>
        </w:rPr>
        <w:t xml:space="preserve">within a multi-operator indoor system, specifically comparing Fiber-to-the-Antenna (FTTA) deployments against traditional passive Distributed Antenna Systems (DAS) using coaxial networks.</w:t>
      </w:r>
      <w:r w:rsidDel="00000000" w:rsidR="00000000" w:rsidRPr="00000000">
        <w:rPr>
          <w:rtl w:val="0"/>
        </w:rPr>
      </w:r>
    </w:p>
    <w:p w:rsidR="00000000" w:rsidDel="00000000" w:rsidP="00000000" w:rsidRDefault="00000000" w:rsidRPr="00000000" w14:paraId="00000019">
      <w:pPr>
        <w:pStyle w:val="Heading2"/>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both"/>
        <w:rPr>
          <w:rFonts w:ascii="Titillium Web" w:cs="Titillium Web" w:eastAsia="Titillium Web" w:hAnsi="Titillium Web"/>
          <w:b w:val="1"/>
          <w:sz w:val="36"/>
          <w:szCs w:val="36"/>
        </w:rPr>
      </w:pPr>
      <w:bookmarkStart w:colFirst="0" w:colLast="0" w:name="_9h7hhgaay5p0" w:id="3"/>
      <w:bookmarkEnd w:id="3"/>
      <w:r w:rsidDel="00000000" w:rsidR="00000000" w:rsidRPr="00000000">
        <w:rPr>
          <w:rFonts w:ascii="Titillium Web" w:cs="Titillium Web" w:eastAsia="Titillium Web" w:hAnsi="Titillium Web"/>
          <w:b w:val="1"/>
          <w:sz w:val="36"/>
          <w:szCs w:val="36"/>
          <w:rtl w:val="0"/>
        </w:rPr>
        <w:t xml:space="preserve">Background and Motivation</w:t>
      </w:r>
    </w:p>
    <w:p w:rsidR="00000000" w:rsidDel="00000000" w:rsidP="00000000" w:rsidRDefault="00000000" w:rsidRPr="00000000" w14:paraId="0000001A">
      <w:pPr>
        <w:spacing w:before="200" w:lineRule="auto"/>
        <w:jc w:val="both"/>
        <w:rPr>
          <w:rFonts w:ascii="Metrophobic" w:cs="Metrophobic" w:eastAsia="Metrophobic" w:hAnsi="Metrophobic"/>
          <w:sz w:val="22"/>
          <w:szCs w:val="22"/>
        </w:rPr>
      </w:pPr>
      <w:r w:rsidDel="00000000" w:rsidR="00000000" w:rsidRPr="00000000">
        <w:rPr>
          <w:rtl w:val="0"/>
        </w:rPr>
        <w:t xml:space="preserve">The rapidly evolving 5G landscape, characterized by demands for higher data rates and increased capacity, presents significant challenges for energy efficiency, particularly in indoor environments. Traditional passive DAS, while prevalent, often struggle to meet the escalating uplink data rate requirements of 5G, a critical bottleneck highlighted in recent industry reports (e.g., Ericsson Mobility Reports). FTTA, by extending optical fiber directly to the antenna, offers substantially higher uplink data rates, addressing this limitation. However, this enhanced performance often comes with increased energy consumption </w:t>
      </w:r>
      <w:r w:rsidDel="00000000" w:rsidR="00000000" w:rsidRPr="00000000">
        <w:rPr>
          <w:rFonts w:ascii="Metrophobic" w:cs="Metrophobic" w:eastAsia="Metrophobic" w:hAnsi="Metrophobic"/>
          <w:sz w:val="22"/>
          <w:szCs w:val="22"/>
          <w:rtl w:val="0"/>
        </w:rPr>
        <w:t xml:space="preserve">compared to coaxial solutions, a concern explicitly identified by telecommunication operators such as Orange France. This research is directly motivated by these industry challenges and the recognized need for sustainable 5G infrastructure.</w:t>
      </w:r>
    </w:p>
    <w:p w:rsidR="00000000" w:rsidDel="00000000" w:rsidP="00000000" w:rsidRDefault="00000000" w:rsidRPr="00000000" w14:paraId="0000001B">
      <w:pPr>
        <w:widowControl w:val="0"/>
        <w:spacing w:after="240" w:before="120" w:line="275.9999942779541" w:lineRule="auto"/>
        <w:rPr>
          <w:rFonts w:ascii="Metrophobic" w:cs="Metrophobic" w:eastAsia="Metrophobic" w:hAnsi="Metrophobic"/>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1D">
      <w:pPr>
        <w:pStyle w:val="Heading3"/>
        <w:keepNext w:val="0"/>
        <w:keepLines w:val="0"/>
        <w:widowControl w:val="0"/>
        <w:spacing w:after="120" w:before="0" w:line="275.9999942779541" w:lineRule="auto"/>
        <w:rPr>
          <w:rFonts w:ascii="Titillium Web" w:cs="Titillium Web" w:eastAsia="Titillium Web" w:hAnsi="Titillium Web"/>
          <w:sz w:val="36"/>
          <w:szCs w:val="36"/>
        </w:rPr>
      </w:pPr>
      <w:r w:rsidDel="00000000" w:rsidR="00000000" w:rsidRPr="00000000">
        <w:rPr>
          <w:rFonts w:ascii="Titillium Web" w:cs="Titillium Web" w:eastAsia="Titillium Web" w:hAnsi="Titillium Web"/>
          <w:sz w:val="36"/>
          <w:szCs w:val="36"/>
          <w:rtl w:val="0"/>
        </w:rPr>
        <w:t xml:space="preserve">Research Objectives</w:t>
      </w:r>
    </w:p>
    <w:p w:rsidR="00000000" w:rsidDel="00000000" w:rsidP="00000000" w:rsidRDefault="00000000" w:rsidRPr="00000000" w14:paraId="0000001E">
      <w:pPr>
        <w:widowControl w:val="0"/>
        <w:spacing w:after="120" w:before="0" w:line="275.9999942779541" w:lineRule="auto"/>
        <w:rPr>
          <w:rFonts w:ascii="Google Sans Text" w:cs="Google Sans Text" w:eastAsia="Google Sans Text" w:hAnsi="Google Sans Text"/>
          <w:color w:val="1b1c1d"/>
          <w:sz w:val="22"/>
          <w:szCs w:val="22"/>
        </w:rPr>
      </w:pPr>
      <w:r w:rsidDel="00000000" w:rsidR="00000000" w:rsidRPr="00000000">
        <w:rPr>
          <w:rFonts w:ascii="Google Sans Text" w:cs="Google Sans Text" w:eastAsia="Google Sans Text" w:hAnsi="Google Sans Text"/>
          <w:color w:val="1b1c1d"/>
          <w:sz w:val="22"/>
          <w:szCs w:val="22"/>
          <w:rtl w:val="0"/>
        </w:rPr>
        <w:t xml:space="preserve">This thesis aims to:</w:t>
      </w:r>
    </w:p>
    <w:p w:rsidR="00000000" w:rsidDel="00000000" w:rsidP="00000000" w:rsidRDefault="00000000" w:rsidRPr="00000000" w14:paraId="0000001F">
      <w:pPr>
        <w:widowControl w:val="0"/>
        <w:numPr>
          <w:ilvl w:val="0"/>
          <w:numId w:val="3"/>
        </w:numPr>
        <w:spacing w:after="0" w:afterAutospacing="0" w:before="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Quantify the energy consumption</w:t>
      </w:r>
      <w:r w:rsidDel="00000000" w:rsidR="00000000" w:rsidRPr="00000000">
        <w:rPr>
          <w:rFonts w:ascii="Google Sans Text" w:cs="Google Sans Text" w:eastAsia="Google Sans Text" w:hAnsi="Google Sans Text"/>
          <w:color w:val="1b1c1d"/>
          <w:sz w:val="22"/>
          <w:szCs w:val="22"/>
          <w:rtl w:val="0"/>
        </w:rPr>
        <w:t xml:space="preserve"> of FTTA-based multi-operator indoor systems under various realistic 5G traffic scenarios (e.g., high-density user environments, diverse service types).</w:t>
      </w:r>
    </w:p>
    <w:p w:rsidR="00000000" w:rsidDel="00000000" w:rsidP="00000000" w:rsidRDefault="00000000" w:rsidRPr="00000000" w14:paraId="00000020">
      <w:pPr>
        <w:widowControl w:val="0"/>
        <w:numPr>
          <w:ilvl w:val="0"/>
          <w:numId w:val="3"/>
        </w:numPr>
        <w:spacing w:after="0" w:afterAutospacing="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Compare the energy efficiency</w:t>
      </w:r>
      <w:r w:rsidDel="00000000" w:rsidR="00000000" w:rsidRPr="00000000">
        <w:rPr>
          <w:rFonts w:ascii="Google Sans Text" w:cs="Google Sans Text" w:eastAsia="Google Sans Text" w:hAnsi="Google Sans Text"/>
          <w:color w:val="1b1c1d"/>
          <w:sz w:val="22"/>
          <w:szCs w:val="22"/>
          <w:rtl w:val="0"/>
        </w:rPr>
        <w:t xml:space="preserve"> of FTTA deployments against traditional coaxial DAS for indoor 5G coverage.</w:t>
      </w:r>
    </w:p>
    <w:p w:rsidR="00000000" w:rsidDel="00000000" w:rsidP="00000000" w:rsidRDefault="00000000" w:rsidRPr="00000000" w14:paraId="00000021">
      <w:pPr>
        <w:widowControl w:val="0"/>
        <w:numPr>
          <w:ilvl w:val="0"/>
          <w:numId w:val="3"/>
        </w:numPr>
        <w:spacing w:after="0" w:afterAutospacing="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Analyze and evaluate the effectiveness of proposed power-saving features</w:t>
      </w:r>
      <w:r w:rsidDel="00000000" w:rsidR="00000000" w:rsidRPr="00000000">
        <w:rPr>
          <w:rFonts w:ascii="Google Sans Text" w:cs="Google Sans Text" w:eastAsia="Google Sans Text" w:hAnsi="Google Sans Text"/>
          <w:color w:val="1b1c1d"/>
          <w:sz w:val="22"/>
          <w:szCs w:val="22"/>
          <w:rtl w:val="0"/>
        </w:rPr>
        <w:t xml:space="preserve"> integrated into next-generation indoor system platforms.</w:t>
      </w:r>
    </w:p>
    <w:p w:rsidR="00000000" w:rsidDel="00000000" w:rsidP="00000000" w:rsidRDefault="00000000" w:rsidRPr="00000000" w14:paraId="00000022">
      <w:pPr>
        <w:widowControl w:val="0"/>
        <w:numPr>
          <w:ilvl w:val="0"/>
          <w:numId w:val="3"/>
        </w:numPr>
        <w:spacing w:after="0" w:afterAutospacing="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Develop theoretical models</w:t>
      </w:r>
      <w:r w:rsidDel="00000000" w:rsidR="00000000" w:rsidRPr="00000000">
        <w:rPr>
          <w:rFonts w:ascii="Google Sans Text" w:cs="Google Sans Text" w:eastAsia="Google Sans Text" w:hAnsi="Google Sans Text"/>
          <w:color w:val="1b1c1d"/>
          <w:sz w:val="22"/>
          <w:szCs w:val="22"/>
          <w:rtl w:val="0"/>
        </w:rPr>
        <w:t xml:space="preserve"> to predict energy consumption and the impact of power-saving features.</w:t>
      </w:r>
    </w:p>
    <w:p w:rsidR="00000000" w:rsidDel="00000000" w:rsidP="00000000" w:rsidRDefault="00000000" w:rsidRPr="00000000" w14:paraId="00000023">
      <w:pPr>
        <w:widowControl w:val="0"/>
        <w:numPr>
          <w:ilvl w:val="0"/>
          <w:numId w:val="3"/>
        </w:numPr>
        <w:spacing w:after="0" w:afterAutospacing="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Conduct empirical measurements</w:t>
      </w:r>
      <w:r w:rsidDel="00000000" w:rsidR="00000000" w:rsidRPr="00000000">
        <w:rPr>
          <w:rFonts w:ascii="Google Sans Text" w:cs="Google Sans Text" w:eastAsia="Google Sans Text" w:hAnsi="Google Sans Text"/>
          <w:color w:val="1b1c1d"/>
          <w:sz w:val="22"/>
          <w:szCs w:val="22"/>
          <w:rtl w:val="0"/>
        </w:rPr>
        <w:t xml:space="preserve"> on laboratory equipment to validate theoretical findings and assess real-world performance.</w:t>
      </w:r>
    </w:p>
    <w:p w:rsidR="00000000" w:rsidDel="00000000" w:rsidP="00000000" w:rsidRDefault="00000000" w:rsidRPr="00000000" w14:paraId="00000024">
      <w:pPr>
        <w:widowControl w:val="0"/>
        <w:numPr>
          <w:ilvl w:val="0"/>
          <w:numId w:val="3"/>
        </w:numPr>
        <w:spacing w:after="12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Provide actionable insights</w:t>
      </w:r>
      <w:r w:rsidDel="00000000" w:rsidR="00000000" w:rsidRPr="00000000">
        <w:rPr>
          <w:rFonts w:ascii="Google Sans Text" w:cs="Google Sans Text" w:eastAsia="Google Sans Text" w:hAnsi="Google Sans Text"/>
          <w:color w:val="1b1c1d"/>
          <w:sz w:val="22"/>
          <w:szCs w:val="22"/>
          <w:rtl w:val="0"/>
        </w:rPr>
        <w:t xml:space="preserve"> for optimizing energy consumption in 5G indoor systems, with both technical and commercial implications.</w:t>
      </w:r>
    </w:p>
    <w:p w:rsidR="00000000" w:rsidDel="00000000" w:rsidP="00000000" w:rsidRDefault="00000000" w:rsidRPr="00000000" w14:paraId="00000025">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26">
      <w:pPr>
        <w:pStyle w:val="Heading3"/>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5.9999942779541" w:lineRule="auto"/>
        <w:ind w:left="0" w:right="0" w:firstLine="0"/>
        <w:jc w:val="left"/>
        <w:rPr>
          <w:rFonts w:ascii="Titillium Web" w:cs="Titillium Web" w:eastAsia="Titillium Web" w:hAnsi="Titillium Web"/>
          <w:sz w:val="36"/>
          <w:szCs w:val="36"/>
        </w:rPr>
      </w:pPr>
      <w:r w:rsidDel="00000000" w:rsidR="00000000" w:rsidRPr="00000000">
        <w:rPr>
          <w:rFonts w:ascii="Titillium Web" w:cs="Titillium Web" w:eastAsia="Titillium Web" w:hAnsi="Titillium Web"/>
          <w:sz w:val="36"/>
          <w:szCs w:val="36"/>
          <w:rtl w:val="0"/>
        </w:rPr>
        <w:t xml:space="preserve">Methodology</w:t>
      </w:r>
    </w:p>
    <w:p w:rsidR="00000000" w:rsidDel="00000000" w:rsidP="00000000" w:rsidRDefault="00000000" w:rsidRPr="00000000" w14:paraId="00000027">
      <w:pPr>
        <w:widowControl w:val="0"/>
        <w:spacing w:after="120" w:before="0" w:line="275.9999942779541" w:lineRule="auto"/>
        <w:rPr>
          <w:rFonts w:ascii="Google Sans Text" w:cs="Google Sans Text" w:eastAsia="Google Sans Text" w:hAnsi="Google Sans Text"/>
          <w:color w:val="1b1c1d"/>
          <w:sz w:val="22"/>
          <w:szCs w:val="22"/>
        </w:rPr>
      </w:pPr>
      <w:r w:rsidDel="00000000" w:rsidR="00000000" w:rsidRPr="00000000">
        <w:rPr>
          <w:rFonts w:ascii="Google Sans Text" w:cs="Google Sans Text" w:eastAsia="Google Sans Text" w:hAnsi="Google Sans Text"/>
          <w:color w:val="1b1c1d"/>
          <w:sz w:val="22"/>
          <w:szCs w:val="22"/>
          <w:rtl w:val="0"/>
        </w:rPr>
        <w:t xml:space="preserve">The research will employ a mixed-methods approach, combining theoretical analysis with practical experimentation:</w:t>
      </w:r>
    </w:p>
    <w:p w:rsidR="00000000" w:rsidDel="00000000" w:rsidP="00000000" w:rsidRDefault="00000000" w:rsidRPr="00000000" w14:paraId="00000028">
      <w:pPr>
        <w:widowControl w:val="0"/>
        <w:numPr>
          <w:ilvl w:val="0"/>
          <w:numId w:val="2"/>
        </w:numPr>
        <w:spacing w:after="120" w:before="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Theoretical Analysis:</w:t>
      </w:r>
      <w:r w:rsidDel="00000000" w:rsidR="00000000" w:rsidRPr="00000000">
        <w:rPr>
          <w:rFonts w:ascii="Google Sans Text" w:cs="Google Sans Text" w:eastAsia="Google Sans Text" w:hAnsi="Google Sans Text"/>
          <w:color w:val="1b1c1d"/>
          <w:sz w:val="22"/>
          <w:szCs w:val="22"/>
          <w:rtl w:val="0"/>
        </w:rPr>
        <w:t xml:space="preserve"> This will involve developing mathematical models and simulations to understand the relationship between 5G traffic patterns, system configurations (FTTA vs. DAS), and energy consumption. The analysis will also incorporate the proposed power-saving features of our platform. Looking ahead, the analysis will address which features can or should be included in 6G to make active DAS an energy-efficient option for indoor 6G coverage.</w:t>
      </w:r>
    </w:p>
    <w:p w:rsidR="00000000" w:rsidDel="00000000" w:rsidP="00000000" w:rsidRDefault="00000000" w:rsidRPr="00000000" w14:paraId="00000029">
      <w:pPr>
        <w:widowControl w:val="0"/>
        <w:spacing w:after="120" w:before="0" w:line="275.9999942779541" w:lineRule="auto"/>
        <w:ind w:left="465" w:firstLine="0"/>
        <w:rPr>
          <w:rFonts w:ascii="Google Sans Text" w:cs="Google Sans Text" w:eastAsia="Google Sans Text" w:hAnsi="Google Sans Text"/>
          <w:color w:val="1b1c1d"/>
          <w:sz w:val="22"/>
          <w:szCs w:val="22"/>
        </w:rPr>
      </w:pPr>
      <w:r w:rsidDel="00000000" w:rsidR="00000000" w:rsidRPr="00000000">
        <w:rPr>
          <w:rFonts w:ascii="Google Sans Text" w:cs="Google Sans Text" w:eastAsia="Google Sans Text" w:hAnsi="Google Sans Text"/>
          <w:color w:val="1b1c1d"/>
          <w:sz w:val="22"/>
          <w:szCs w:val="22"/>
          <w:rtl w:val="0"/>
        </w:rPr>
        <w:t xml:space="preserve">A conventional RF-fed active DAS needs to infer possible power-saving modes from information transmitted over the air interface. The ORAN open fronthaul standard provides a higher level interface between the baseband and the radio unit, the analysis will look into what additional information is available that can further optimise energy efficiency in a DAS connected via such an interface.</w:t>
      </w:r>
    </w:p>
    <w:p w:rsidR="00000000" w:rsidDel="00000000" w:rsidP="00000000" w:rsidRDefault="00000000" w:rsidRPr="00000000" w14:paraId="0000002A">
      <w:pPr>
        <w:widowControl w:val="0"/>
        <w:numPr>
          <w:ilvl w:val="0"/>
          <w:numId w:val="2"/>
        </w:numPr>
        <w:spacing w:after="0" w:afterAutospacing="0" w:before="12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Laboratory Measurements:</w:t>
      </w:r>
      <w:r w:rsidDel="00000000" w:rsidR="00000000" w:rsidRPr="00000000">
        <w:rPr>
          <w:rFonts w:ascii="Google Sans Text" w:cs="Google Sans Text" w:eastAsia="Google Sans Text" w:hAnsi="Google Sans Text"/>
          <w:color w:val="1b1c1d"/>
          <w:sz w:val="22"/>
          <w:szCs w:val="22"/>
          <w:rtl w:val="0"/>
        </w:rPr>
        <w:t xml:space="preserve"> Extensive measurements will be conducted on our proprietary equipment in a controlled lab environment. These experiments will simulate various 5G traffic scenarios to gather empirical data on energy consumption with and without the implemented power-saving features.</w:t>
      </w:r>
    </w:p>
    <w:p w:rsidR="00000000" w:rsidDel="00000000" w:rsidP="00000000" w:rsidRDefault="00000000" w:rsidRPr="00000000" w14:paraId="0000002B">
      <w:pPr>
        <w:widowControl w:val="0"/>
        <w:numPr>
          <w:ilvl w:val="0"/>
          <w:numId w:val="2"/>
        </w:numPr>
        <w:spacing w:after="12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Data Analysis and Evaluation:</w:t>
      </w:r>
      <w:r w:rsidDel="00000000" w:rsidR="00000000" w:rsidRPr="00000000">
        <w:rPr>
          <w:rFonts w:ascii="Google Sans Text" w:cs="Google Sans Text" w:eastAsia="Google Sans Text" w:hAnsi="Google Sans Text"/>
          <w:color w:val="1b1c1d"/>
          <w:sz w:val="22"/>
          <w:szCs w:val="22"/>
          <w:rtl w:val="0"/>
        </w:rPr>
        <w:t xml:space="preserve"> The collected data will be rigorously analyzed to evaluate the effectiveness of FTTA and the proposed power-saving mechanisms, identifying key energy consumption drivers and potential areas for optimization.</w:t>
      </w:r>
    </w:p>
    <w:p w:rsidR="00000000" w:rsidDel="00000000" w:rsidP="00000000" w:rsidRDefault="00000000" w:rsidRPr="00000000" w14:paraId="0000002C">
      <w:pPr>
        <w:widowControl w:val="0"/>
        <w:spacing w:after="240" w:before="120" w:line="275.9999942779541" w:lineRule="auto"/>
        <w:rPr>
          <w:rFonts w:ascii="Metrophobic" w:cs="Metrophobic" w:eastAsia="Metrophobic" w:hAnsi="Metrophobic"/>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2E">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2F">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30">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31">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32">
      <w:pPr>
        <w:spacing w:before="200" w:lineRule="auto"/>
        <w:jc w:val="both"/>
        <w:rPr>
          <w:rFonts w:ascii="Metrophobic" w:cs="Metrophobic" w:eastAsia="Metrophobic" w:hAnsi="Metrophobic"/>
          <w:sz w:val="22"/>
          <w:szCs w:val="22"/>
        </w:rPr>
      </w:pPr>
      <w:r w:rsidDel="00000000" w:rsidR="00000000" w:rsidRPr="00000000">
        <w:rPr>
          <w:rtl w:val="0"/>
        </w:rPr>
      </w:r>
    </w:p>
    <w:p w:rsidR="00000000" w:rsidDel="00000000" w:rsidP="00000000" w:rsidRDefault="00000000" w:rsidRPr="00000000" w14:paraId="00000033">
      <w:pPr>
        <w:pStyle w:val="Heading3"/>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75.9999942779541" w:lineRule="auto"/>
        <w:ind w:left="0" w:right="0" w:firstLine="0"/>
        <w:jc w:val="left"/>
        <w:rPr>
          <w:rFonts w:ascii="Titillium Web" w:cs="Titillium Web" w:eastAsia="Titillium Web" w:hAnsi="Titillium Web"/>
          <w:sz w:val="36"/>
          <w:szCs w:val="36"/>
        </w:rPr>
      </w:pPr>
      <w:r w:rsidDel="00000000" w:rsidR="00000000" w:rsidRPr="00000000">
        <w:rPr>
          <w:rFonts w:ascii="Titillium Web" w:cs="Titillium Web" w:eastAsia="Titillium Web" w:hAnsi="Titillium Web"/>
          <w:sz w:val="36"/>
          <w:szCs w:val="36"/>
          <w:rtl w:val="0"/>
        </w:rPr>
        <w:t xml:space="preserve">Expected Outcomes and Contributions</w:t>
      </w:r>
    </w:p>
    <w:p w:rsidR="00000000" w:rsidDel="00000000" w:rsidP="00000000" w:rsidRDefault="00000000" w:rsidRPr="00000000" w14:paraId="00000034">
      <w:pPr>
        <w:widowControl w:val="0"/>
        <w:spacing w:after="240" w:before="0" w:line="275.9999942779541" w:lineRule="auto"/>
        <w:rPr>
          <w:rFonts w:ascii="Google Sans" w:cs="Google Sans" w:eastAsia="Google Sans" w:hAnsi="Google Sans"/>
          <w:color w:val="1b1c1d"/>
          <w:sz w:val="22"/>
          <w:szCs w:val="22"/>
        </w:rPr>
      </w:pPr>
      <w:r w:rsidDel="00000000" w:rsidR="00000000" w:rsidRPr="00000000">
        <w:rPr>
          <w:rtl w:val="0"/>
        </w:rPr>
      </w:r>
    </w:p>
    <w:p w:rsidR="00000000" w:rsidDel="00000000" w:rsidP="00000000" w:rsidRDefault="00000000" w:rsidRPr="00000000" w14:paraId="00000035">
      <w:pPr>
        <w:widowControl w:val="0"/>
        <w:spacing w:after="120" w:before="0" w:line="275.9999942779541" w:lineRule="auto"/>
        <w:rPr>
          <w:rFonts w:ascii="Google Sans Text" w:cs="Google Sans Text" w:eastAsia="Google Sans Text" w:hAnsi="Google Sans Text"/>
          <w:color w:val="1b1c1d"/>
          <w:sz w:val="22"/>
          <w:szCs w:val="22"/>
        </w:rPr>
      </w:pPr>
      <w:r w:rsidDel="00000000" w:rsidR="00000000" w:rsidRPr="00000000">
        <w:rPr>
          <w:rFonts w:ascii="Google Sans Text" w:cs="Google Sans Text" w:eastAsia="Google Sans Text" w:hAnsi="Google Sans Text"/>
          <w:color w:val="1b1c1d"/>
          <w:sz w:val="22"/>
          <w:szCs w:val="22"/>
          <w:rtl w:val="0"/>
        </w:rPr>
        <w:t xml:space="preserve">This thesis is expected to yield:</w:t>
      </w:r>
    </w:p>
    <w:p w:rsidR="00000000" w:rsidDel="00000000" w:rsidP="00000000" w:rsidRDefault="00000000" w:rsidRPr="00000000" w14:paraId="00000036">
      <w:pPr>
        <w:widowControl w:val="0"/>
        <w:numPr>
          <w:ilvl w:val="0"/>
          <w:numId w:val="1"/>
        </w:numPr>
        <w:spacing w:after="0" w:afterAutospacing="0" w:before="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color w:val="1b1c1d"/>
          <w:sz w:val="22"/>
          <w:szCs w:val="22"/>
          <w:rtl w:val="0"/>
        </w:rPr>
        <w:t xml:space="preserve">A comprehensive understanding of the </w:t>
      </w:r>
      <w:r w:rsidDel="00000000" w:rsidR="00000000" w:rsidRPr="00000000">
        <w:rPr>
          <w:rFonts w:ascii="Google Sans Text" w:cs="Google Sans Text" w:eastAsia="Google Sans Text" w:hAnsi="Google Sans Text"/>
          <w:b w:val="1"/>
          <w:color w:val="1b1c1d"/>
          <w:sz w:val="22"/>
          <w:szCs w:val="22"/>
          <w:rtl w:val="0"/>
        </w:rPr>
        <w:t xml:space="preserve">energy footprint of FTTA in 5G multi-operator indoor systems</w:t>
      </w:r>
      <w:r w:rsidDel="00000000" w:rsidR="00000000" w:rsidRPr="00000000">
        <w:rPr>
          <w:rFonts w:ascii="Google Sans Text" w:cs="Google Sans Text" w:eastAsia="Google Sans Text" w:hAnsi="Google Sans Text"/>
          <w:color w:val="1b1c1d"/>
          <w:sz w:val="22"/>
          <w:szCs w:val="22"/>
          <w:rtl w:val="0"/>
        </w:rPr>
        <w:t xml:space="preserve">.</w:t>
      </w:r>
    </w:p>
    <w:p w:rsidR="00000000" w:rsidDel="00000000" w:rsidP="00000000" w:rsidRDefault="00000000" w:rsidRPr="00000000" w14:paraId="00000037">
      <w:pPr>
        <w:widowControl w:val="0"/>
        <w:numPr>
          <w:ilvl w:val="0"/>
          <w:numId w:val="1"/>
        </w:numPr>
        <w:spacing w:after="0" w:afterAutospacing="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Validated models and empirical data</w:t>
      </w:r>
      <w:r w:rsidDel="00000000" w:rsidR="00000000" w:rsidRPr="00000000">
        <w:rPr>
          <w:rFonts w:ascii="Google Sans Text" w:cs="Google Sans Text" w:eastAsia="Google Sans Text" w:hAnsi="Google Sans Text"/>
          <w:color w:val="1b1c1d"/>
          <w:sz w:val="22"/>
          <w:szCs w:val="22"/>
          <w:rtl w:val="0"/>
        </w:rPr>
        <w:t xml:space="preserve"> demonstrating the impact and benefits of specific power-saving techniques.</w:t>
      </w:r>
    </w:p>
    <w:p w:rsidR="00000000" w:rsidDel="00000000" w:rsidP="00000000" w:rsidRDefault="00000000" w:rsidRPr="00000000" w14:paraId="00000038">
      <w:pPr>
        <w:widowControl w:val="0"/>
        <w:numPr>
          <w:ilvl w:val="0"/>
          <w:numId w:val="1"/>
        </w:numPr>
        <w:spacing w:after="0" w:afterAutospacing="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b w:val="1"/>
          <w:color w:val="1b1c1d"/>
          <w:sz w:val="22"/>
          <w:szCs w:val="22"/>
          <w:rtl w:val="0"/>
        </w:rPr>
        <w:t xml:space="preserve">Recommendations for energy-efficient design and deployment strategies</w:t>
      </w:r>
      <w:r w:rsidDel="00000000" w:rsidR="00000000" w:rsidRPr="00000000">
        <w:rPr>
          <w:rFonts w:ascii="Google Sans Text" w:cs="Google Sans Text" w:eastAsia="Google Sans Text" w:hAnsi="Google Sans Text"/>
          <w:color w:val="1b1c1d"/>
          <w:sz w:val="22"/>
          <w:szCs w:val="22"/>
          <w:rtl w:val="0"/>
        </w:rPr>
        <w:t xml:space="preserve"> for future 5G indoor infrastructure.</w:t>
      </w:r>
    </w:p>
    <w:p w:rsidR="00000000" w:rsidDel="00000000" w:rsidP="00000000" w:rsidRDefault="00000000" w:rsidRPr="00000000" w14:paraId="00000039">
      <w:pPr>
        <w:widowControl w:val="0"/>
        <w:numPr>
          <w:ilvl w:val="0"/>
          <w:numId w:val="1"/>
        </w:numPr>
        <w:spacing w:after="120" w:before="0" w:beforeAutospacing="0" w:line="275.9999942779541" w:lineRule="auto"/>
        <w:ind w:left="465" w:hanging="360"/>
        <w:rPr>
          <w:rFonts w:ascii="Arial" w:cs="Arial" w:eastAsia="Arial" w:hAnsi="Arial"/>
          <w:sz w:val="22"/>
          <w:szCs w:val="22"/>
        </w:rPr>
      </w:pPr>
      <w:r w:rsidDel="00000000" w:rsidR="00000000" w:rsidRPr="00000000">
        <w:rPr>
          <w:rFonts w:ascii="Google Sans Text" w:cs="Google Sans Text" w:eastAsia="Google Sans Text" w:hAnsi="Google Sans Text"/>
          <w:color w:val="1b1c1d"/>
          <w:sz w:val="22"/>
          <w:szCs w:val="22"/>
          <w:rtl w:val="0"/>
        </w:rPr>
        <w:t xml:space="preserve">Findings that will contribute to both </w:t>
      </w:r>
      <w:r w:rsidDel="00000000" w:rsidR="00000000" w:rsidRPr="00000000">
        <w:rPr>
          <w:rFonts w:ascii="Google Sans Text" w:cs="Google Sans Text" w:eastAsia="Google Sans Text" w:hAnsi="Google Sans Text"/>
          <w:b w:val="1"/>
          <w:color w:val="1b1c1d"/>
          <w:sz w:val="22"/>
          <w:szCs w:val="22"/>
          <w:rtl w:val="0"/>
        </w:rPr>
        <w:t xml:space="preserve">technical advancements</w:t>
      </w:r>
      <w:r w:rsidDel="00000000" w:rsidR="00000000" w:rsidRPr="00000000">
        <w:rPr>
          <w:rFonts w:ascii="Google Sans Text" w:cs="Google Sans Text" w:eastAsia="Google Sans Text" w:hAnsi="Google Sans Text"/>
          <w:color w:val="1b1c1d"/>
          <w:sz w:val="22"/>
          <w:szCs w:val="22"/>
          <w:rtl w:val="0"/>
        </w:rPr>
        <w:t xml:space="preserve"> in telecommunications equipment design and </w:t>
      </w:r>
      <w:r w:rsidDel="00000000" w:rsidR="00000000" w:rsidRPr="00000000">
        <w:rPr>
          <w:rFonts w:ascii="Google Sans Text" w:cs="Google Sans Text" w:eastAsia="Google Sans Text" w:hAnsi="Google Sans Text"/>
          <w:b w:val="1"/>
          <w:color w:val="1b1c1d"/>
          <w:sz w:val="22"/>
          <w:szCs w:val="22"/>
          <w:rtl w:val="0"/>
        </w:rPr>
        <w:t xml:space="preserve">commercial strategies</w:t>
      </w:r>
      <w:r w:rsidDel="00000000" w:rsidR="00000000" w:rsidRPr="00000000">
        <w:rPr>
          <w:rFonts w:ascii="Google Sans Text" w:cs="Google Sans Text" w:eastAsia="Google Sans Text" w:hAnsi="Google Sans Text"/>
          <w:color w:val="1b1c1d"/>
          <w:sz w:val="22"/>
          <w:szCs w:val="22"/>
          <w:rtl w:val="0"/>
        </w:rPr>
        <w:t xml:space="preserve"> for energy cost reduction in 5G networks.</w:t>
      </w:r>
    </w:p>
    <w:p w:rsidR="00000000" w:rsidDel="00000000" w:rsidP="00000000" w:rsidRDefault="00000000" w:rsidRPr="00000000" w14:paraId="0000003A">
      <w:pPr>
        <w:widowControl w:val="0"/>
        <w:spacing w:after="240" w:before="240" w:line="275.9999942779541" w:lineRule="auto"/>
        <w:rPr>
          <w:rFonts w:ascii="Google Sans Text" w:cs="Google Sans Text" w:eastAsia="Google Sans Text" w:hAnsi="Google Sans Text"/>
          <w:color w:val="1b1c1d"/>
          <w:sz w:val="22"/>
          <w:szCs w:val="22"/>
        </w:rPr>
      </w:pPr>
      <w:r w:rsidDel="00000000" w:rsidR="00000000" w:rsidRPr="00000000">
        <w:rPr>
          <w:rFonts w:ascii="Google Sans Text" w:cs="Google Sans Text" w:eastAsia="Google Sans Text" w:hAnsi="Google Sans Text"/>
          <w:color w:val="1b1c1d"/>
          <w:sz w:val="22"/>
          <w:szCs w:val="22"/>
          <w:rtl w:val="0"/>
        </w:rPr>
        <w:t xml:space="preserve">Collaboration opportunities with external partners, such as Tele2, for accessing real-world traffic data and potentially conducting joint measurements, may be explored as the project progresses to further enhance the research's practical relevance.</w:t>
      </w:r>
    </w:p>
    <w:p w:rsidR="00000000" w:rsidDel="00000000" w:rsidP="00000000" w:rsidRDefault="00000000" w:rsidRPr="00000000" w14:paraId="0000003B">
      <w:pPr>
        <w:rPr/>
      </w:pPr>
      <w:r w:rsidDel="00000000" w:rsidR="00000000" w:rsidRPr="00000000">
        <w:rPr>
          <w:rtl w:val="0"/>
        </w:rPr>
      </w:r>
    </w:p>
    <w:sectPr>
      <w:headerReference r:id="rId6" w:type="default"/>
      <w:headerReference r:id="rId7" w:type="first"/>
      <w:footerReference r:id="rId8" w:type="default"/>
      <w:footerReference r:id="rId9" w:type="first"/>
      <w:pgSz w:h="16834" w:w="11909" w:orient="portrait"/>
      <w:pgMar w:bottom="0" w:top="0" w:left="1440.0000000000002" w:right="1440.0000000000002" w:header="720" w:footer="639.9999999999943"/>
      <w:pgNumType w:start="1"/>
      <w:cols w:equalWidth="0" w:num="1">
        <w:col w:space="0" w:w="9025.5"/>
      </w:cols>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ource Sans 3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itillium Web">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etrophobic">
    <w:embedRegular w:fontKey="{00000000-0000-0000-0000-000000000000}" r:id="rId9" w:subsetted="0"/>
  </w:font>
  <w:font w:name="Google Sans">
    <w:embedRegular w:fontKey="{00000000-0000-0000-0000-000000000000}" r:id="rId10" w:subsetted="0"/>
    <w:embedBold w:fontKey="{00000000-0000-0000-0000-000000000000}" r:id="rId11" w:subsetted="0"/>
    <w:embedItalic w:fontKey="{00000000-0000-0000-0000-000000000000}" r:id="rId12" w:subsetted="0"/>
    <w:embedBoldItalic w:fontKey="{00000000-0000-0000-0000-000000000000}" r:id="rId13" w:subsetted="0"/>
  </w:font>
  <w:font w:name="Source Sans 3">
    <w:embedRegular w:fontKey="{00000000-0000-0000-0000-000000000000}" r:id="rId14" w:subsetted="0"/>
    <w:embedBold w:fontKey="{00000000-0000-0000-0000-000000000000}" r:id="rId15" w:subsetted="0"/>
    <w:embedItalic w:fontKey="{00000000-0000-0000-0000-000000000000}" r:id="rId16" w:subsetted="0"/>
    <w:embedBoldItalic w:fontKey="{00000000-0000-0000-0000-000000000000}" r:id="rId17" w:subsetted="0"/>
  </w:font>
  <w:font w:name="Varela Round">
    <w:embedRegular w:fontKey="{00000000-0000-0000-0000-000000000000}" r:id="rId18" w:subsetted="0"/>
  </w:font>
  <w:font w:name="Google Sans Text">
    <w:embedRegular w:fontKey="{00000000-0000-0000-0000-000000000000}" r:id="rId19" w:subsetted="0"/>
    <w:embedBold w:fontKey="{00000000-0000-0000-0000-000000000000}" r:id="rId20" w:subsetted="0"/>
    <w:embedItalic w:fontKey="{00000000-0000-0000-0000-000000000000}" r:id="rId21" w:subsetted="0"/>
    <w:embedBoldItalic w:fontKey="{00000000-0000-0000-0000-000000000000}" r:id="rId22" w:subsetted="0"/>
  </w:font>
  <w:font w:name="Source Sans 3 Light">
    <w:embedRegular w:fontKey="{00000000-0000-0000-0000-000000000000}" r:id="rId23" w:subsetted="0"/>
    <w:embedBold w:fontKey="{00000000-0000-0000-0000-000000000000}" r:id="rId24" w:subsetted="0"/>
    <w:embedItalic w:fontKey="{00000000-0000-0000-0000-000000000000}" r:id="rId25" w:subsetted="0"/>
    <w:embedBoldItalic w:fontKey="{00000000-0000-0000-0000-000000000000}" r:id="rId26" w:subsetted="0"/>
  </w:font>
  <w:font w:name="Titillium Web Light">
    <w:embedRegular w:fontKey="{00000000-0000-0000-0000-000000000000}" r:id="rId27" w:subsetted="0"/>
    <w:embedBold w:fontKey="{00000000-0000-0000-0000-000000000000}" r:id="rId28" w:subsetted="0"/>
    <w:embedItalic w:fontKey="{00000000-0000-0000-0000-000000000000}" r:id="rId29" w:subsetted="0"/>
    <w:embedBoldItalic w:fontKey="{00000000-0000-0000-0000-000000000000}" r:id="rId3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spacing w:before="200" w:lineRule="auto"/>
      <w:jc w:val="both"/>
      <w:rPr>
        <w:rFonts w:ascii="Metrophobic" w:cs="Metrophobic" w:eastAsia="Metrophobic" w:hAnsi="Metrophobic"/>
        <w:color w:val="666771"/>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spacing w:before="200" w:lineRule="auto"/>
      <w:jc w:val="both"/>
      <w:rPr/>
    </w:pPr>
    <w:r w:rsidDel="00000000" w:rsidR="00000000" w:rsidRPr="00000000">
      <w:rPr>
        <w:rFonts w:ascii="Metrophobic" w:cs="Metrophobic" w:eastAsia="Metrophobic" w:hAnsi="Metrophobic"/>
        <w:color w:val="666771"/>
        <w:sz w:val="22"/>
        <w:szCs w:val="22"/>
        <w:rtl w:val="0"/>
      </w:rPr>
      <w:t xml:space="preserve">SE2508-008</w:t>
      <w:tab/>
      <w:tab/>
      <w:tab/>
      <w:t xml:space="preserve">     </w:t>
      <w:tab/>
      <w:t xml:space="preserve">      Confidential</w:t>
      <w:tab/>
      <w:tab/>
      <w:tab/>
      <w:tab/>
    </w:r>
    <w:r w:rsidDel="00000000" w:rsidR="00000000" w:rsidRPr="00000000">
      <w:rPr>
        <w:rFonts w:ascii="Metrophobic" w:cs="Metrophobic" w:eastAsia="Metrophobic" w:hAnsi="Metrophobic"/>
        <w:color w:val="666771"/>
        <w:sz w:val="22"/>
        <w:szCs w:val="22"/>
      </w:rPr>
      <w:fldChar w:fldCharType="begin"/>
      <w:instrText xml:space="preserve">PAGE</w:instrText>
      <w:fldChar w:fldCharType="separate"/>
      <w:fldChar w:fldCharType="end"/>
    </w:r>
    <w:r w:rsidDel="00000000" w:rsidR="00000000" w:rsidRPr="00000000">
      <w:rPr>
        <w:rFonts w:ascii="Metrophobic" w:cs="Metrophobic" w:eastAsia="Metrophobic" w:hAnsi="Metrophobic"/>
        <w:color w:val="666771"/>
        <w:sz w:val="22"/>
        <w:szCs w:val="22"/>
        <w:rtl w:val="0"/>
      </w:rPr>
      <w:t xml:space="preserve"> / </w:t>
    </w:r>
    <w:r w:rsidDel="00000000" w:rsidR="00000000" w:rsidRPr="00000000">
      <w:rPr>
        <w:rFonts w:ascii="Metrophobic" w:cs="Metrophobic" w:eastAsia="Metrophobic" w:hAnsi="Metrophobic"/>
        <w:color w:val="666771"/>
        <w:sz w:val="22"/>
        <w:szCs w:val="22"/>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-1276349</wp:posOffset>
          </wp:positionH>
          <wp:positionV relativeFrom="paragraph">
            <wp:posOffset>164548</wp:posOffset>
          </wp:positionV>
          <wp:extent cx="8181975" cy="1152525"/>
          <wp:effectExtent b="0" l="0" r="0" t="0"/>
          <wp:wrapNone/>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8181975" cy="11525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-1231899</wp:posOffset>
          </wp:positionH>
          <wp:positionV relativeFrom="paragraph">
            <wp:posOffset>295275</wp:posOffset>
          </wp:positionV>
          <wp:extent cx="8181975" cy="1152525"/>
          <wp:effectExtent b="0" l="0" r="0" t="0"/>
          <wp:wrapNone/>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8181975" cy="1152525"/>
                  </a:xfrm>
                  <a:prstGeom prst="rect"/>
                  <a:ln/>
                </pic:spPr>
              </pic:pic>
            </a:graphicData>
          </a:graphic>
        </wp:anchor>
      </w:drawing>
    </w:r>
  </w:p>
  <w:p w:rsidR="00000000" w:rsidDel="00000000" w:rsidP="00000000" w:rsidRDefault="00000000" w:rsidRPr="00000000" w14:paraId="0000004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jc w:val="right"/>
      <w:rPr>
        <w:color w:val="40b498"/>
      </w:rPr>
    </w:pPr>
    <w:r w:rsidDel="00000000" w:rsidR="00000000" w:rsidRPr="00000000">
      <w:rPr>
        <w:color w:val="40b498"/>
        <w:rtl w:val="0"/>
      </w:rPr>
      <w:t xml:space="preserve">mavenwireless.com</w:t>
    </w:r>
    <w:r w:rsidDel="00000000" w:rsidR="00000000" w:rsidRPr="00000000">
      <w:drawing>
        <wp:anchor allowOverlap="1" behindDoc="1" distB="114300" distT="114300" distL="114300" distR="114300" hidden="0" layoutInCell="1" locked="0" relativeHeight="0" simplePos="0">
          <wp:simplePos x="0" y="0"/>
          <wp:positionH relativeFrom="column">
            <wp:posOffset>-47624</wp:posOffset>
          </wp:positionH>
          <wp:positionV relativeFrom="paragraph">
            <wp:posOffset>28576</wp:posOffset>
          </wp:positionV>
          <wp:extent cx="1471613" cy="277260"/>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71613" cy="277260"/>
                  </a:xfrm>
                  <a:prstGeom prst="rect"/>
                  <a:ln/>
                </pic:spPr>
              </pic:pic>
            </a:graphicData>
          </a:graphic>
        </wp:anchor>
      </w:drawing>
    </w:r>
  </w:p>
  <w:p w:rsidR="00000000" w:rsidDel="00000000" w:rsidP="00000000" w:rsidRDefault="00000000" w:rsidRPr="00000000" w14:paraId="0000003D">
    <w:pPr>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jc w:val="right"/>
      <w:rPr>
        <w:color w:val="40b498"/>
      </w:rPr>
    </w:pPr>
    <w:r w:rsidDel="00000000" w:rsidR="00000000" w:rsidRPr="00000000">
      <w:rPr>
        <w:color w:val="40b498"/>
        <w:rtl w:val="0"/>
      </w:rPr>
      <w:t xml:space="preserve">mavenwireless.com</w:t>
    </w:r>
    <w:r w:rsidDel="00000000" w:rsidR="00000000" w:rsidRPr="00000000">
      <w:drawing>
        <wp:anchor allowOverlap="1" behindDoc="1" distB="114300" distT="114300" distL="114300" distR="114300" hidden="0" layoutInCell="1" locked="0" relativeHeight="0" simplePos="0">
          <wp:simplePos x="0" y="0"/>
          <wp:positionH relativeFrom="column">
            <wp:posOffset>-47624</wp:posOffset>
          </wp:positionH>
          <wp:positionV relativeFrom="paragraph">
            <wp:posOffset>28576</wp:posOffset>
          </wp:positionV>
          <wp:extent cx="1471613" cy="277260"/>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71613" cy="277260"/>
                  </a:xfrm>
                  <a:prstGeom prst="rect"/>
                  <a:ln/>
                </pic:spPr>
              </pic:pic>
            </a:graphicData>
          </a:graphic>
        </wp:anchor>
      </w:drawing>
    </w:r>
  </w:p>
  <w:p w:rsidR="00000000" w:rsidDel="00000000" w:rsidP="00000000" w:rsidRDefault="00000000" w:rsidRPr="00000000" w14:paraId="00000041">
    <w:pPr>
      <w:rPr>
        <w:color w:val="40b49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465"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465"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Source Sans 3" w:cs="Source Sans 3" w:eastAsia="Source Sans 3" w:hAnsi="Source Sans 3"/>
        <w:sz w:val="24"/>
        <w:szCs w:val="24"/>
        <w:lang w:val="en_GB"/>
      </w:rPr>
    </w:rPrDefault>
    <w:pPrDefault>
      <w:pPr>
        <w:spacing w:before="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rFonts w:ascii="Titillium Web" w:cs="Titillium Web" w:eastAsia="Titillium Web" w:hAnsi="Titillium Web"/>
      <w:b w:val="1"/>
      <w:color w:val="40b498"/>
      <w:sz w:val="56"/>
      <w:szCs w:val="56"/>
    </w:rPr>
  </w:style>
  <w:style w:type="paragraph" w:styleId="Heading2">
    <w:name w:val="heading 2"/>
    <w:basedOn w:val="Normal"/>
    <w:next w:val="Normal"/>
    <w:pPr>
      <w:keepNext w:val="1"/>
      <w:keepLines w:val="1"/>
    </w:pPr>
    <w:rPr>
      <w:rFonts w:ascii="Titillium Web Light" w:cs="Titillium Web Light" w:eastAsia="Titillium Web Light" w:hAnsi="Titillium Web Light"/>
      <w:sz w:val="44"/>
      <w:szCs w:val="44"/>
    </w:rPr>
  </w:style>
  <w:style w:type="paragraph" w:styleId="Heading3">
    <w:name w:val="heading 3"/>
    <w:basedOn w:val="Normal"/>
    <w:next w:val="Normal"/>
    <w:pPr>
      <w:keepNext w:val="1"/>
      <w:keepLines w:val="1"/>
    </w:pPr>
    <w:rPr>
      <w:b w:val="1"/>
    </w:rPr>
  </w:style>
  <w:style w:type="paragraph" w:styleId="Heading4">
    <w:name w:val="heading 4"/>
    <w:basedOn w:val="Normal"/>
    <w:next w:val="Normal"/>
    <w:pPr>
      <w:keepNext w:val="1"/>
      <w:keepLines w:val="1"/>
    </w:pPr>
    <w:rPr>
      <w:rFonts w:ascii="Source Sans 3 SemiBold" w:cs="Source Sans 3 SemiBold" w:eastAsia="Source Sans 3 SemiBold" w:hAnsi="Source Sans 3 SemiBold"/>
      <w:color w:val="40b498"/>
      <w:sz w:val="32"/>
      <w:szCs w:val="32"/>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Pr>
    <w:rPr>
      <w:rFonts w:ascii="Titillium Web Light" w:cs="Titillium Web Light" w:eastAsia="Titillium Web Light" w:hAnsi="Titillium Web Light"/>
      <w:sz w:val="34"/>
      <w:szCs w:val="34"/>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20" Type="http://schemas.openxmlformats.org/officeDocument/2006/relationships/font" Target="fonts/GoogleSansText-bold.ttf"/><Relationship Id="rId22" Type="http://schemas.openxmlformats.org/officeDocument/2006/relationships/font" Target="fonts/GoogleSansText-boldItalic.ttf"/><Relationship Id="rId21" Type="http://schemas.openxmlformats.org/officeDocument/2006/relationships/font" Target="fonts/GoogleSansText-italic.ttf"/><Relationship Id="rId24" Type="http://schemas.openxmlformats.org/officeDocument/2006/relationships/font" Target="fonts/SourceSans3Light-bold.ttf"/><Relationship Id="rId23" Type="http://schemas.openxmlformats.org/officeDocument/2006/relationships/font" Target="fonts/SourceSans3Light-regular.ttf"/><Relationship Id="rId1" Type="http://schemas.openxmlformats.org/officeDocument/2006/relationships/font" Target="fonts/SourceSans3SemiBold-regular.ttf"/><Relationship Id="rId2" Type="http://schemas.openxmlformats.org/officeDocument/2006/relationships/font" Target="fonts/SourceSans3SemiBold-bold.ttf"/><Relationship Id="rId3" Type="http://schemas.openxmlformats.org/officeDocument/2006/relationships/font" Target="fonts/SourceSans3SemiBold-italic.ttf"/><Relationship Id="rId4" Type="http://schemas.openxmlformats.org/officeDocument/2006/relationships/font" Target="fonts/SourceSans3SemiBold-boldItalic.ttf"/><Relationship Id="rId9" Type="http://schemas.openxmlformats.org/officeDocument/2006/relationships/font" Target="fonts/Metrophobic-regular.ttf"/><Relationship Id="rId26" Type="http://schemas.openxmlformats.org/officeDocument/2006/relationships/font" Target="fonts/SourceSans3Light-boldItalic.ttf"/><Relationship Id="rId25" Type="http://schemas.openxmlformats.org/officeDocument/2006/relationships/font" Target="fonts/SourceSans3Light-italic.ttf"/><Relationship Id="rId28" Type="http://schemas.openxmlformats.org/officeDocument/2006/relationships/font" Target="fonts/TitilliumWebLight-bold.ttf"/><Relationship Id="rId27" Type="http://schemas.openxmlformats.org/officeDocument/2006/relationships/font" Target="fonts/TitilliumWebLight-regular.ttf"/><Relationship Id="rId5" Type="http://schemas.openxmlformats.org/officeDocument/2006/relationships/font" Target="fonts/TitilliumWeb-regular.ttf"/><Relationship Id="rId6" Type="http://schemas.openxmlformats.org/officeDocument/2006/relationships/font" Target="fonts/TitilliumWeb-bold.ttf"/><Relationship Id="rId29" Type="http://schemas.openxmlformats.org/officeDocument/2006/relationships/font" Target="fonts/TitilliumWebLight-italic.ttf"/><Relationship Id="rId7" Type="http://schemas.openxmlformats.org/officeDocument/2006/relationships/font" Target="fonts/TitilliumWeb-italic.ttf"/><Relationship Id="rId8" Type="http://schemas.openxmlformats.org/officeDocument/2006/relationships/font" Target="fonts/TitilliumWeb-boldItalic.ttf"/><Relationship Id="rId30" Type="http://schemas.openxmlformats.org/officeDocument/2006/relationships/font" Target="fonts/TitilliumWebLight-boldItalic.ttf"/><Relationship Id="rId11" Type="http://schemas.openxmlformats.org/officeDocument/2006/relationships/font" Target="fonts/GoogleSans-bold.ttf"/><Relationship Id="rId10" Type="http://schemas.openxmlformats.org/officeDocument/2006/relationships/font" Target="fonts/GoogleSans-regular.ttf"/><Relationship Id="rId13" Type="http://schemas.openxmlformats.org/officeDocument/2006/relationships/font" Target="fonts/GoogleSans-boldItalic.ttf"/><Relationship Id="rId12" Type="http://schemas.openxmlformats.org/officeDocument/2006/relationships/font" Target="fonts/GoogleSans-italic.ttf"/><Relationship Id="rId15" Type="http://schemas.openxmlformats.org/officeDocument/2006/relationships/font" Target="fonts/SourceSans3-bold.ttf"/><Relationship Id="rId14" Type="http://schemas.openxmlformats.org/officeDocument/2006/relationships/font" Target="fonts/SourceSans3-regular.ttf"/><Relationship Id="rId17" Type="http://schemas.openxmlformats.org/officeDocument/2006/relationships/font" Target="fonts/SourceSans3-boldItalic.ttf"/><Relationship Id="rId16" Type="http://schemas.openxmlformats.org/officeDocument/2006/relationships/font" Target="fonts/SourceSans3-italic.ttf"/><Relationship Id="rId19" Type="http://schemas.openxmlformats.org/officeDocument/2006/relationships/font" Target="fonts/GoogleSansText-regular.ttf"/><Relationship Id="rId18" Type="http://schemas.openxmlformats.org/officeDocument/2006/relationships/font" Target="fonts/VarelaRound-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