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1C5E58" w14:textId="77777777" w:rsidR="00253F5B" w:rsidRDefault="00253F5B" w:rsidP="00253F5B">
      <w:pPr>
        <w:rPr>
          <w:rFonts w:cs="Calibri"/>
          <w:b/>
          <w:bCs/>
          <w:sz w:val="52"/>
          <w:szCs w:val="52"/>
        </w:rPr>
      </w:pPr>
      <w:bookmarkStart w:id="0" w:name="_Toc322538527"/>
    </w:p>
    <w:p w14:paraId="699268EE" w14:textId="77777777" w:rsidR="00253F5B" w:rsidRDefault="00253F5B" w:rsidP="00253F5B">
      <w:pPr>
        <w:rPr>
          <w:rFonts w:cs="Calibri"/>
          <w:b/>
          <w:bCs/>
          <w:sz w:val="52"/>
          <w:szCs w:val="52"/>
        </w:rPr>
      </w:pPr>
    </w:p>
    <w:p w14:paraId="115494DE" w14:textId="77777777" w:rsidR="00253F5B" w:rsidRDefault="00253F5B" w:rsidP="00253F5B">
      <w:pPr>
        <w:rPr>
          <w:rFonts w:cs="Calibri"/>
          <w:b/>
          <w:bCs/>
          <w:sz w:val="52"/>
          <w:szCs w:val="52"/>
        </w:rPr>
      </w:pPr>
    </w:p>
    <w:p w14:paraId="4A601171" w14:textId="0EC0B10A" w:rsidR="00253F5B" w:rsidRPr="00253F5B" w:rsidRDefault="00253F5B" w:rsidP="00253F5B">
      <w:pPr>
        <w:rPr>
          <w:rFonts w:ascii="Times New Roman" w:hAnsi="Times New Roman" w:cs="Times New Roman"/>
          <w:b/>
          <w:bCs/>
          <w:sz w:val="52"/>
          <w:szCs w:val="52"/>
          <w:lang w:val="en-US"/>
        </w:rPr>
      </w:pPr>
      <w:r w:rsidRPr="00253F5B">
        <w:rPr>
          <w:rFonts w:ascii="Times New Roman" w:hAnsi="Times New Roman" w:cs="Times New Roman"/>
          <w:b/>
          <w:bCs/>
          <w:sz w:val="52"/>
          <w:szCs w:val="52"/>
        </w:rPr>
        <w:t>SELF-EVALUATION IN RAE 2020</w:t>
      </w:r>
    </w:p>
    <w:p w14:paraId="6289FE6E" w14:textId="274030CB" w:rsidR="00253F5B" w:rsidRPr="00253F5B" w:rsidRDefault="0004060A" w:rsidP="00253F5B">
      <w:pPr>
        <w:rPr>
          <w:rFonts w:ascii="Times New Roman" w:hAnsi="Times New Roman" w:cs="Times New Roman"/>
          <w:b/>
          <w:sz w:val="44"/>
          <w:szCs w:val="44"/>
          <w:lang w:val="en-US"/>
        </w:rPr>
      </w:pPr>
      <w:r>
        <w:rPr>
          <w:rFonts w:ascii="Times New Roman" w:hAnsi="Times New Roman" w:cs="Times New Roman"/>
          <w:b/>
          <w:sz w:val="44"/>
          <w:szCs w:val="44"/>
          <w:lang w:val="en-US"/>
        </w:rPr>
        <w:t>Panel</w:t>
      </w:r>
      <w:r w:rsidR="00253F5B" w:rsidRPr="00253F5B">
        <w:rPr>
          <w:rFonts w:ascii="Times New Roman" w:hAnsi="Times New Roman" w:cs="Times New Roman"/>
          <w:b/>
          <w:sz w:val="44"/>
          <w:szCs w:val="44"/>
          <w:lang w:val="en-US"/>
        </w:rPr>
        <w:t xml:space="preserve"> 6: </w:t>
      </w:r>
    </w:p>
    <w:p w14:paraId="62F2AEC1" w14:textId="60142B25" w:rsidR="00253F5B" w:rsidRPr="00253F5B" w:rsidRDefault="00253F5B" w:rsidP="00253F5B">
      <w:pPr>
        <w:rPr>
          <w:rFonts w:ascii="Times New Roman" w:hAnsi="Times New Roman" w:cs="Times New Roman"/>
          <w:b/>
          <w:sz w:val="44"/>
          <w:szCs w:val="44"/>
          <w:lang w:val="en-US"/>
        </w:rPr>
      </w:pPr>
      <w:r w:rsidRPr="00253F5B">
        <w:rPr>
          <w:rFonts w:ascii="Times New Roman" w:hAnsi="Times New Roman" w:cs="Times New Roman"/>
          <w:b/>
          <w:sz w:val="44"/>
          <w:szCs w:val="44"/>
          <w:lang w:val="en-US"/>
        </w:rPr>
        <w:t>Energy and Electrical Engineering</w:t>
      </w:r>
    </w:p>
    <w:p w14:paraId="1327186E" w14:textId="77777777" w:rsidR="00253F5B" w:rsidRPr="00253F5B" w:rsidRDefault="00253F5B" w:rsidP="00253F5B">
      <w:pPr>
        <w:rPr>
          <w:rFonts w:ascii="Times New Roman" w:hAnsi="Times New Roman" w:cs="Times New Roman"/>
          <w:b/>
          <w:sz w:val="44"/>
          <w:szCs w:val="44"/>
          <w:lang w:val="en-US"/>
        </w:rPr>
      </w:pPr>
    </w:p>
    <w:p w14:paraId="5DE0E02B" w14:textId="259D29F3" w:rsidR="00253F5B" w:rsidRPr="00253F5B" w:rsidRDefault="00253F5B" w:rsidP="00253F5B">
      <w:pPr>
        <w:rPr>
          <w:rFonts w:ascii="Times New Roman" w:hAnsi="Times New Roman" w:cs="Times New Roman"/>
          <w:sz w:val="32"/>
          <w:szCs w:val="32"/>
          <w:lang w:val="en-US"/>
        </w:rPr>
      </w:pPr>
      <w:r w:rsidRPr="00253F5B">
        <w:rPr>
          <w:rFonts w:ascii="Times New Roman" w:hAnsi="Times New Roman" w:cs="Times New Roman"/>
          <w:b/>
          <w:sz w:val="36"/>
          <w:szCs w:val="36"/>
          <w:lang w:val="en-US"/>
        </w:rPr>
        <w:br/>
      </w:r>
      <w:r w:rsidRPr="00253F5B">
        <w:rPr>
          <w:rFonts w:ascii="Times New Roman" w:hAnsi="Times New Roman" w:cs="Times New Roman"/>
          <w:sz w:val="32"/>
          <w:szCs w:val="32"/>
          <w:lang w:val="en-US"/>
        </w:rPr>
        <w:t>Coordinator: Staffan Norrga</w:t>
      </w:r>
    </w:p>
    <w:p w14:paraId="1704B1E8" w14:textId="2DA3CB64" w:rsidR="00253F5B" w:rsidRPr="00253F5B" w:rsidRDefault="00253F5B" w:rsidP="00253F5B">
      <w:pPr>
        <w:rPr>
          <w:rFonts w:ascii="Times New Roman" w:hAnsi="Times New Roman" w:cs="Times New Roman"/>
          <w:sz w:val="32"/>
          <w:szCs w:val="32"/>
          <w:lang w:val="en-US"/>
        </w:rPr>
      </w:pPr>
      <w:r w:rsidRPr="00253F5B">
        <w:rPr>
          <w:rFonts w:ascii="Times New Roman" w:hAnsi="Times New Roman" w:cs="Times New Roman"/>
          <w:sz w:val="32"/>
          <w:szCs w:val="32"/>
          <w:lang w:val="en-US"/>
        </w:rPr>
        <w:t xml:space="preserve">Vice-coordinators: </w:t>
      </w:r>
      <w:r>
        <w:rPr>
          <w:rFonts w:ascii="Times New Roman" w:hAnsi="Times New Roman" w:cs="Times New Roman"/>
          <w:sz w:val="32"/>
          <w:szCs w:val="32"/>
          <w:lang w:val="en-US"/>
        </w:rPr>
        <w:t xml:space="preserve">Viktoria Martin, Gunnar Malm and </w:t>
      </w:r>
      <w:r w:rsidR="00E7092A">
        <w:rPr>
          <w:rFonts w:ascii="Times New Roman" w:hAnsi="Times New Roman" w:cs="Times New Roman"/>
          <w:sz w:val="32"/>
          <w:szCs w:val="32"/>
          <w:lang w:val="en-US"/>
        </w:rPr>
        <w:br/>
      </w:r>
      <w:r>
        <w:rPr>
          <w:rFonts w:ascii="Times New Roman" w:hAnsi="Times New Roman" w:cs="Times New Roman"/>
          <w:sz w:val="32"/>
          <w:szCs w:val="32"/>
          <w:lang w:val="en-US"/>
        </w:rPr>
        <w:t>Hans-Peter Nee</w:t>
      </w:r>
    </w:p>
    <w:p w14:paraId="4461AE54" w14:textId="4CFD76A6" w:rsidR="00253F5B" w:rsidRDefault="00253F5B">
      <w:pPr>
        <w:spacing w:after="0"/>
        <w:rPr>
          <w:rFonts w:cs="Calibri"/>
          <w:b/>
          <w:bCs/>
          <w:color w:val="000000" w:themeColor="text1"/>
          <w:lang w:val="en-US"/>
        </w:rPr>
      </w:pPr>
    </w:p>
    <w:p w14:paraId="32BDA2DC" w14:textId="77777777" w:rsidR="0004060A" w:rsidRDefault="0004060A">
      <w:pPr>
        <w:spacing w:after="0"/>
        <w:rPr>
          <w:rFonts w:cs="Calibri"/>
          <w:b/>
          <w:bCs/>
          <w:color w:val="000000" w:themeColor="text1"/>
          <w:lang w:val="en-US"/>
        </w:rPr>
      </w:pPr>
    </w:p>
    <w:p w14:paraId="3E52EF9A" w14:textId="77777777" w:rsidR="0004060A" w:rsidRPr="0004060A" w:rsidRDefault="0004060A">
      <w:pPr>
        <w:spacing w:after="0"/>
        <w:rPr>
          <w:rFonts w:ascii="Times New Roman" w:hAnsi="Times New Roman" w:cs="Times New Roman"/>
          <w:b/>
          <w:bCs/>
          <w:color w:val="000000" w:themeColor="text1"/>
          <w:lang w:val="en-US"/>
        </w:rPr>
      </w:pPr>
      <w:r w:rsidRPr="0004060A">
        <w:rPr>
          <w:rFonts w:ascii="Times New Roman" w:hAnsi="Times New Roman" w:cs="Times New Roman"/>
          <w:b/>
          <w:bCs/>
          <w:color w:val="000000" w:themeColor="text1"/>
          <w:lang w:val="en-US"/>
        </w:rPr>
        <w:t>Contents:</w:t>
      </w:r>
    </w:p>
    <w:p w14:paraId="2C9CB450" w14:textId="4A66146A" w:rsidR="0004060A" w:rsidRPr="0004060A" w:rsidRDefault="00AA5BFB">
      <w:pPr>
        <w:spacing w:after="0"/>
        <w:rPr>
          <w:rFonts w:ascii="Times New Roman" w:hAnsi="Times New Roman" w:cs="Times New Roman"/>
          <w:bCs/>
          <w:color w:val="000000" w:themeColor="text1"/>
          <w:lang w:val="en-US"/>
        </w:rPr>
      </w:pPr>
      <w:hyperlink w:anchor="Intro" w:history="1">
        <w:r w:rsidR="0004060A" w:rsidRPr="0004060A">
          <w:rPr>
            <w:rStyle w:val="Hyperlink"/>
            <w:rFonts w:ascii="Times New Roman" w:hAnsi="Times New Roman" w:cs="Times New Roman"/>
            <w:bCs/>
            <w:lang w:val="en-US"/>
          </w:rPr>
          <w:t>Introduction</w:t>
        </w:r>
      </w:hyperlink>
    </w:p>
    <w:p w14:paraId="2CDA846D" w14:textId="7F16B40B" w:rsidR="0004060A" w:rsidRPr="0004060A" w:rsidRDefault="00AA5BFB">
      <w:pPr>
        <w:spacing w:after="0"/>
        <w:rPr>
          <w:rFonts w:ascii="Times New Roman" w:hAnsi="Times New Roman" w:cs="Times New Roman"/>
          <w:bCs/>
          <w:color w:val="000000" w:themeColor="text1"/>
          <w:lang w:val="en-US"/>
        </w:rPr>
      </w:pPr>
      <w:hyperlink w:anchor="EGI_selfevaluation" w:history="1">
        <w:r w:rsidR="0004060A" w:rsidRPr="0004060A">
          <w:rPr>
            <w:rStyle w:val="Hyperlink"/>
            <w:rFonts w:ascii="Times New Roman" w:hAnsi="Times New Roman" w:cs="Times New Roman"/>
            <w:bCs/>
            <w:lang w:val="en-US"/>
          </w:rPr>
          <w:t>Self-evaluation of the Department of Energy Technology</w:t>
        </w:r>
      </w:hyperlink>
    </w:p>
    <w:p w14:paraId="1BAF9BED" w14:textId="4B8D8B03" w:rsidR="0004060A" w:rsidRPr="0004060A" w:rsidRDefault="00AA5BFB" w:rsidP="0004060A">
      <w:pPr>
        <w:spacing w:after="0"/>
        <w:rPr>
          <w:rFonts w:ascii="Times New Roman" w:hAnsi="Times New Roman" w:cs="Times New Roman"/>
          <w:bCs/>
          <w:color w:val="000000" w:themeColor="text1"/>
          <w:lang w:val="en-US"/>
        </w:rPr>
      </w:pPr>
      <w:hyperlink w:anchor="EE_selfevaluation" w:history="1">
        <w:r w:rsidR="0004060A" w:rsidRPr="0004060A">
          <w:rPr>
            <w:rStyle w:val="Hyperlink"/>
            <w:rFonts w:ascii="Times New Roman" w:hAnsi="Times New Roman" w:cs="Times New Roman"/>
            <w:bCs/>
            <w:lang w:val="en-US"/>
          </w:rPr>
          <w:t>Self-evaluation</w:t>
        </w:r>
        <w:r w:rsidR="0004060A" w:rsidRPr="0004060A">
          <w:rPr>
            <w:rStyle w:val="Hyperlink"/>
            <w:rFonts w:ascii="Times New Roman" w:hAnsi="Times New Roman" w:cs="Times New Roman"/>
            <w:bCs/>
            <w:lang w:val="en-US"/>
          </w:rPr>
          <w:t xml:space="preserve"> </w:t>
        </w:r>
        <w:r w:rsidR="0004060A" w:rsidRPr="0004060A">
          <w:rPr>
            <w:rStyle w:val="Hyperlink"/>
            <w:rFonts w:ascii="Times New Roman" w:hAnsi="Times New Roman" w:cs="Times New Roman"/>
            <w:bCs/>
            <w:lang w:val="en-US"/>
          </w:rPr>
          <w:t>of the Department of Electrical Engineering</w:t>
        </w:r>
      </w:hyperlink>
    </w:p>
    <w:p w14:paraId="52C3C411" w14:textId="77777777" w:rsidR="0004060A" w:rsidRDefault="0004060A">
      <w:pPr>
        <w:spacing w:after="0"/>
        <w:rPr>
          <w:rFonts w:cs="Calibri"/>
          <w:b/>
          <w:bCs/>
          <w:color w:val="000000" w:themeColor="text1"/>
          <w:lang w:val="en-US"/>
        </w:rPr>
      </w:pPr>
    </w:p>
    <w:p w14:paraId="02D60533" w14:textId="765E63F1" w:rsidR="0004060A" w:rsidRDefault="00253F5B" w:rsidP="0004060A">
      <w:pPr>
        <w:spacing w:after="0"/>
        <w:jc w:val="both"/>
        <w:rPr>
          <w:rFonts w:cs="Calibri"/>
          <w:b/>
          <w:bCs/>
          <w:color w:val="000000" w:themeColor="text1"/>
          <w:lang w:val="en-US"/>
        </w:rPr>
      </w:pPr>
      <w:r>
        <w:rPr>
          <w:rFonts w:cs="Calibri"/>
          <w:b/>
          <w:bCs/>
          <w:color w:val="000000" w:themeColor="text1"/>
          <w:lang w:val="en-US"/>
        </w:rPr>
        <w:br w:type="page"/>
      </w:r>
    </w:p>
    <w:p w14:paraId="4E93E459" w14:textId="77777777" w:rsidR="00253F5B" w:rsidRDefault="00253F5B" w:rsidP="00B24178">
      <w:pPr>
        <w:spacing w:after="120"/>
        <w:rPr>
          <w:rFonts w:cs="Calibri"/>
          <w:b/>
          <w:bCs/>
          <w:color w:val="000000" w:themeColor="text1"/>
          <w:lang w:val="en-US"/>
        </w:rPr>
      </w:pPr>
    </w:p>
    <w:p w14:paraId="20D81918" w14:textId="4A54DF0F" w:rsidR="00B24178" w:rsidRPr="00B24178" w:rsidRDefault="00B24178" w:rsidP="003A09D8">
      <w:pPr>
        <w:pStyle w:val="ListParagraph"/>
        <w:numPr>
          <w:ilvl w:val="0"/>
          <w:numId w:val="12"/>
        </w:numPr>
        <w:spacing w:after="120"/>
        <w:rPr>
          <w:rFonts w:ascii="Calibri" w:hAnsi="Calibri" w:cs="Calibri"/>
          <w:b/>
          <w:bCs/>
          <w:lang w:val="en-US"/>
        </w:rPr>
      </w:pPr>
      <w:bookmarkStart w:id="1" w:name="Intro"/>
      <w:r w:rsidRPr="00B24178">
        <w:rPr>
          <w:rFonts w:ascii="Calibri" w:hAnsi="Calibri" w:cs="Calibri"/>
          <w:b/>
          <w:bCs/>
          <w:color w:val="000000" w:themeColor="text1"/>
          <w:lang w:val="en-US"/>
        </w:rPr>
        <w:t>INTRODUCTION</w:t>
      </w:r>
    </w:p>
    <w:bookmarkEnd w:id="1"/>
    <w:p w14:paraId="1D4781CA" w14:textId="77777777" w:rsidR="00B24178" w:rsidRPr="00B24178" w:rsidRDefault="00B24178" w:rsidP="00B24178">
      <w:pPr>
        <w:spacing w:after="120"/>
        <w:rPr>
          <w:rFonts w:cs="Calibri"/>
          <w:i/>
          <w:iCs/>
        </w:rPr>
      </w:pPr>
      <w:r w:rsidRPr="00B24178">
        <w:rPr>
          <w:rFonts w:cs="Calibri"/>
          <w:b/>
          <w:bCs/>
        </w:rPr>
        <w:t xml:space="preserve">0 a. </w:t>
      </w:r>
      <w:r w:rsidRPr="00B24178">
        <w:rPr>
          <w:rFonts w:cs="Calibri"/>
          <w:i/>
          <w:iCs/>
        </w:rPr>
        <w:t>Description of the research field of the departments included in the research panel</w:t>
      </w:r>
    </w:p>
    <w:p w14:paraId="5B4AF494" w14:textId="77777777" w:rsidR="00B24178" w:rsidRPr="00B24178" w:rsidRDefault="00B24178" w:rsidP="00B24178">
      <w:pPr>
        <w:rPr>
          <w:rFonts w:cs="Calibri"/>
        </w:rPr>
      </w:pPr>
      <w:r w:rsidRPr="00B24178">
        <w:rPr>
          <w:rFonts w:eastAsia="Calibri" w:cs="Calibri"/>
        </w:rPr>
        <w:t xml:space="preserve">The research field of the </w:t>
      </w:r>
      <w:r w:rsidRPr="00B24178">
        <w:rPr>
          <w:rFonts w:eastAsia="Calibri" w:cs="Calibri"/>
          <w:i/>
        </w:rPr>
        <w:t>Department of Electrical Engineering</w:t>
      </w:r>
      <w:r w:rsidRPr="00B24178">
        <w:rPr>
          <w:rFonts w:eastAsia="Calibri" w:cs="Calibri"/>
        </w:rPr>
        <w:t xml:space="preserve"> spans over many areas within electrical and electronics engineering. The research fields are on a broad description well described by its organization in divisions and research groups.  Electronics is researched from a very broad range of basic topics including semiconductor device technology and circuits to systems integration and embedded systems implementation. Research in the field of electromagnetics cover many aspects from antennas, advanced material modelling to design, modelling and diagnostics of electric power grid components. The power system as a whole is researched from system aspects like market mechanisms, integration of renewable power sources, power system stability aspects to more specific technology development such as power electronics, HVDC converters and electrical machines and drives with recent applications in electric vehicles. One division contributes to the realization of magnetic confinement fusion as a future sustainable power source. A further research area within the department is space plasma physics and complex plasma.</w:t>
      </w:r>
    </w:p>
    <w:p w14:paraId="6595B591" w14:textId="77777777" w:rsidR="00B24178" w:rsidRPr="00B24178" w:rsidRDefault="00B24178" w:rsidP="00B24178">
      <w:pPr>
        <w:spacing w:after="120"/>
        <w:rPr>
          <w:rFonts w:cs="Calibri"/>
          <w:szCs w:val="24"/>
        </w:rPr>
      </w:pPr>
      <w:r w:rsidRPr="00B24178">
        <w:rPr>
          <w:rFonts w:cs="Calibri"/>
          <w:szCs w:val="24"/>
        </w:rPr>
        <w:t xml:space="preserve">The </w:t>
      </w:r>
      <w:r w:rsidRPr="00B24178">
        <w:rPr>
          <w:rFonts w:cs="Calibri"/>
          <w:i/>
          <w:szCs w:val="24"/>
        </w:rPr>
        <w:t xml:space="preserve">Department of Energy Technology </w:t>
      </w:r>
      <w:r w:rsidRPr="00B24178">
        <w:rPr>
          <w:rFonts w:cs="Calibri"/>
          <w:szCs w:val="24"/>
        </w:rPr>
        <w:t>is conducting research and providing education for the transformation of the energy system towards a fully sustainable future with focus on environment, affordability and availability to everyone. The department is structured into three divisions focusing on heat and power technology, thermodynamics and refrigeration and system analysis respectively. We are covering all levels in technology readiness from laboratory test over component and demonstration tests towards marked introduction and retrofitting. Strength areas are system analysis and system optimization from housing level up to nation and continent scale, techno-economic analysis of energy technologies and infrastructure, solar technology development, heat pump and storage development and turbomachinery and biomass applications. Our strength is the close collaboration with industries, institutional and private stake-holders such that our technologies actually get implemented and serve society.</w:t>
      </w:r>
    </w:p>
    <w:p w14:paraId="3B6379C8" w14:textId="77777777" w:rsidR="00B24178" w:rsidRPr="00B24178" w:rsidRDefault="00B24178" w:rsidP="00B24178">
      <w:pPr>
        <w:spacing w:after="120"/>
        <w:rPr>
          <w:rFonts w:cs="Calibri"/>
          <w:b/>
          <w:szCs w:val="24"/>
        </w:rPr>
      </w:pPr>
    </w:p>
    <w:p w14:paraId="7243BC07" w14:textId="77777777" w:rsidR="00B24178" w:rsidRPr="00B24178" w:rsidRDefault="00B24178" w:rsidP="00B24178">
      <w:pPr>
        <w:spacing w:after="120"/>
        <w:rPr>
          <w:rFonts w:cs="Calibri"/>
          <w:bCs/>
          <w:color w:val="000000"/>
          <w:szCs w:val="24"/>
        </w:rPr>
      </w:pPr>
      <w:r w:rsidRPr="00B24178">
        <w:rPr>
          <w:rFonts w:cs="Calibri"/>
          <w:b/>
          <w:bCs/>
        </w:rPr>
        <w:t>0 b.</w:t>
      </w:r>
      <w:r w:rsidRPr="00B24178">
        <w:rPr>
          <w:rFonts w:cs="Calibri"/>
          <w:i/>
          <w:iCs/>
        </w:rPr>
        <w:t xml:space="preserve"> Description of the self-evaluation process</w:t>
      </w:r>
      <w:r w:rsidRPr="00B24178">
        <w:rPr>
          <w:rFonts w:cs="Calibri"/>
          <w:color w:val="000000" w:themeColor="text1"/>
        </w:rPr>
        <w:t xml:space="preserve"> </w:t>
      </w:r>
      <w:r w:rsidRPr="00B24178">
        <w:rPr>
          <w:rFonts w:cs="Calibri"/>
          <w:i/>
          <w:iCs/>
          <w:color w:val="000000" w:themeColor="text1"/>
        </w:rPr>
        <w:t>for the research panel</w:t>
      </w:r>
    </w:p>
    <w:p w14:paraId="2B915899" w14:textId="77777777" w:rsidR="00B24178" w:rsidRPr="00B24178" w:rsidRDefault="00B24178" w:rsidP="00B24178">
      <w:pPr>
        <w:spacing w:after="0"/>
        <w:rPr>
          <w:rFonts w:cs="Calibri"/>
        </w:rPr>
      </w:pPr>
      <w:r w:rsidRPr="00B24178">
        <w:rPr>
          <w:rFonts w:cs="Calibri"/>
        </w:rPr>
        <w:t>To provide efficient liaison with the departments and divisions two deputy coordinators were appointed. The deputy coordinators have been actively involved in the process, including the meetings with the central RAE team at KTH. Furthermore, a series of meetings was held with the coordinator, deputy coordinators and the department managers to manage and follow up work on the self-evaluation reports for the departments.  The department managers have been responsible for compiling the department reports. They have in turn delegated the work to the division managers and other faculty, including the future faculty responsible and infrastructure responsible researchers. Impact cases have been collected from all of the faculty.</w:t>
      </w:r>
    </w:p>
    <w:p w14:paraId="0200A965" w14:textId="77777777" w:rsidR="00B24178" w:rsidRPr="00B24178" w:rsidRDefault="00B24178" w:rsidP="00B24178">
      <w:pPr>
        <w:spacing w:after="0"/>
        <w:rPr>
          <w:rFonts w:cs="Calibri"/>
          <w:i/>
          <w:szCs w:val="24"/>
        </w:rPr>
      </w:pPr>
    </w:p>
    <w:p w14:paraId="6E6F49ED" w14:textId="77777777" w:rsidR="00B24178" w:rsidRPr="00B24178" w:rsidRDefault="00B24178" w:rsidP="00B24178">
      <w:pPr>
        <w:spacing w:after="120"/>
        <w:rPr>
          <w:rFonts w:cs="Calibri"/>
          <w:bCs/>
          <w:i/>
          <w:color w:val="000000"/>
          <w:szCs w:val="24"/>
        </w:rPr>
      </w:pPr>
      <w:r w:rsidRPr="00B24178">
        <w:rPr>
          <w:rFonts w:cs="Calibri"/>
          <w:b/>
          <w:bCs/>
        </w:rPr>
        <w:t>0 c.</w:t>
      </w:r>
      <w:r w:rsidRPr="00B24178">
        <w:rPr>
          <w:rFonts w:cs="Calibri"/>
          <w:i/>
          <w:iCs/>
        </w:rPr>
        <w:t xml:space="preserve"> Identified research panel synergies</w:t>
      </w:r>
    </w:p>
    <w:p w14:paraId="3E73F8D2" w14:textId="77777777" w:rsidR="00B24178" w:rsidRPr="00B24178" w:rsidRDefault="00B24178" w:rsidP="00B24178">
      <w:pPr>
        <w:spacing w:after="0"/>
        <w:rPr>
          <w:rFonts w:eastAsia="Calibri" w:cs="Calibri"/>
          <w:color w:val="000000" w:themeColor="text1"/>
          <w:szCs w:val="24"/>
        </w:rPr>
      </w:pPr>
      <w:r w:rsidRPr="00B24178">
        <w:rPr>
          <w:rFonts w:cs="Calibri"/>
          <w:color w:val="000000" w:themeColor="text1"/>
          <w:lang w:val="en-US"/>
        </w:rPr>
        <w:t xml:space="preserve">The common research fields within the panel are energy systems, energy-related technologies and electric power engineering. Both departments in the panel are actively involved in the KTH Energy Platform, which is also directed by one of our faculty members. </w:t>
      </w:r>
      <w:r w:rsidRPr="00B24178">
        <w:rPr>
          <w:rFonts w:eastAsia="Calibri" w:cs="Calibri"/>
          <w:color w:val="000000" w:themeColor="text1"/>
          <w:szCs w:val="24"/>
          <w:lang w:val="en-US"/>
        </w:rPr>
        <w:lastRenderedPageBreak/>
        <w:t xml:space="preserve">Other research fields, within the panel, electronics and embedded systems, have clear synergies to research at KTH that is evaluated in </w:t>
      </w:r>
      <w:r w:rsidRPr="00B24178">
        <w:rPr>
          <w:rFonts w:eastAsia="Calibri" w:cs="Calibri"/>
          <w:color w:val="000000" w:themeColor="text1"/>
          <w:szCs w:val="24"/>
        </w:rPr>
        <w:t>Panel 5, Intelligent Systems and Biomedical Engineering and Panel 4, Computer Science.</w:t>
      </w:r>
    </w:p>
    <w:p w14:paraId="021D541A" w14:textId="77777777" w:rsidR="00B24178" w:rsidRPr="00B24178" w:rsidRDefault="00B24178" w:rsidP="00B24178">
      <w:pPr>
        <w:spacing w:after="0"/>
        <w:rPr>
          <w:rFonts w:cs="Calibri"/>
          <w:color w:val="000000" w:themeColor="text1"/>
          <w:lang w:val="en-US"/>
        </w:rPr>
      </w:pPr>
    </w:p>
    <w:p w14:paraId="3A302BAF" w14:textId="77777777" w:rsidR="00B24178" w:rsidRPr="00B24178" w:rsidRDefault="00B24178" w:rsidP="00B24178">
      <w:pPr>
        <w:spacing w:after="0"/>
        <w:rPr>
          <w:rFonts w:cs="Calibri"/>
          <w:color w:val="000000" w:themeColor="text1"/>
          <w:lang w:val="en-US"/>
        </w:rPr>
      </w:pPr>
      <w:r w:rsidRPr="00B24178">
        <w:rPr>
          <w:rFonts w:cs="Calibri"/>
          <w:color w:val="000000" w:themeColor="text1"/>
          <w:lang w:val="en-US"/>
        </w:rPr>
        <w:t>Several opportunities for collaboration among the departments of the panel were identified during the RAE work. Energy system analyses, integrating infrastructure for heat, cold, gas and electric power as well as various types of energy storage, in many cases require a holistic approach. A few specific examples are suggested here.</w:t>
      </w:r>
    </w:p>
    <w:p w14:paraId="6508A1EE" w14:textId="77777777" w:rsidR="00B24178" w:rsidRPr="00B24178" w:rsidRDefault="00B24178" w:rsidP="00B24178">
      <w:pPr>
        <w:spacing w:after="0"/>
        <w:rPr>
          <w:rFonts w:cs="Calibri"/>
          <w:color w:val="000000" w:themeColor="text1"/>
          <w:lang w:val="en-US"/>
        </w:rPr>
      </w:pPr>
    </w:p>
    <w:p w14:paraId="173911A3" w14:textId="77777777" w:rsidR="00B24178" w:rsidRPr="00B24178" w:rsidRDefault="00B24178" w:rsidP="003A09D8">
      <w:pPr>
        <w:pStyle w:val="ListParagraph"/>
        <w:numPr>
          <w:ilvl w:val="0"/>
          <w:numId w:val="39"/>
        </w:numPr>
        <w:ind w:left="360"/>
        <w:rPr>
          <w:rFonts w:ascii="Calibri" w:hAnsi="Calibri" w:cs="Calibri"/>
          <w:color w:val="000000" w:themeColor="text1"/>
          <w:lang w:val="en-US"/>
        </w:rPr>
      </w:pPr>
      <w:r w:rsidRPr="00B24178">
        <w:rPr>
          <w:rFonts w:ascii="Calibri" w:hAnsi="Calibri" w:cs="Calibri"/>
          <w:color w:val="000000" w:themeColor="text1"/>
          <w:lang w:val="en-US"/>
        </w:rPr>
        <w:t>Energy System analysis integrating the power and heat market on district, regional and national level. There is an opportunity to become the leading national systems analysis actor by combining the power market models from the department of Electric Engineering with the heat market and heat and power plant models developed at the department of Energy Technology</w:t>
      </w:r>
    </w:p>
    <w:p w14:paraId="03665C75" w14:textId="77777777" w:rsidR="00B24178" w:rsidRPr="00B24178" w:rsidRDefault="00B24178" w:rsidP="00E7092A">
      <w:pPr>
        <w:spacing w:after="0"/>
        <w:rPr>
          <w:rFonts w:cs="Calibri"/>
          <w:color w:val="000000" w:themeColor="text1"/>
          <w:lang w:val="en-US"/>
        </w:rPr>
      </w:pPr>
    </w:p>
    <w:p w14:paraId="08F59780" w14:textId="77777777" w:rsidR="00B24178" w:rsidRPr="00B24178" w:rsidRDefault="00B24178" w:rsidP="003A09D8">
      <w:pPr>
        <w:pStyle w:val="ListParagraph"/>
        <w:numPr>
          <w:ilvl w:val="0"/>
          <w:numId w:val="39"/>
        </w:numPr>
        <w:ind w:left="360"/>
        <w:rPr>
          <w:rFonts w:ascii="Calibri" w:hAnsi="Calibri" w:cs="Calibri"/>
          <w:color w:val="000000" w:themeColor="text1"/>
          <w:lang w:val="en-US"/>
        </w:rPr>
      </w:pPr>
      <w:r w:rsidRPr="00B24178">
        <w:rPr>
          <w:rFonts w:ascii="Calibri" w:hAnsi="Calibri" w:cs="Calibri"/>
          <w:color w:val="000000" w:themeColor="text1"/>
          <w:lang w:val="en-US"/>
        </w:rPr>
        <w:t>Electro-thermo-mechanical systems, such as heat pumps, form the interface between the electricity grid and heating/cooling systems. This is a field where collaboration among the researchers of the panel could bring benefits and spark more innovation.</w:t>
      </w:r>
    </w:p>
    <w:p w14:paraId="50C1B64E" w14:textId="77777777" w:rsidR="00B24178" w:rsidRPr="00B24178" w:rsidRDefault="00B24178" w:rsidP="00E7092A">
      <w:pPr>
        <w:spacing w:after="0"/>
        <w:rPr>
          <w:rFonts w:cs="Calibri"/>
          <w:color w:val="000000" w:themeColor="text1"/>
          <w:lang w:val="en-US"/>
        </w:rPr>
      </w:pPr>
    </w:p>
    <w:p w14:paraId="327BC001" w14:textId="77777777" w:rsidR="00B24178" w:rsidRPr="00B24178" w:rsidRDefault="00B24178" w:rsidP="003A09D8">
      <w:pPr>
        <w:pStyle w:val="ListParagraph"/>
        <w:numPr>
          <w:ilvl w:val="0"/>
          <w:numId w:val="39"/>
        </w:numPr>
        <w:ind w:left="360"/>
        <w:rPr>
          <w:rFonts w:ascii="Calibri" w:hAnsi="Calibri" w:cs="Calibri"/>
          <w:color w:val="000000"/>
          <w:lang w:val="en-US"/>
        </w:rPr>
      </w:pPr>
      <w:r w:rsidRPr="00B24178">
        <w:rPr>
          <w:rFonts w:ascii="Calibri" w:hAnsi="Calibri" w:cs="Calibri"/>
          <w:color w:val="000000" w:themeColor="text1"/>
          <w:lang w:val="en-US"/>
        </w:rPr>
        <w:t xml:space="preserve">Exhaust gas energy recovery by Peltier elements is another example of technology at the intersection of heat technology and electric power engineering. </w:t>
      </w:r>
    </w:p>
    <w:p w14:paraId="5081AEE5" w14:textId="77777777" w:rsidR="00B24178" w:rsidRPr="00B24178" w:rsidRDefault="00B24178" w:rsidP="00E7092A">
      <w:pPr>
        <w:spacing w:after="0"/>
        <w:rPr>
          <w:rFonts w:cs="Calibri"/>
          <w:color w:val="000000" w:themeColor="text1"/>
          <w:lang w:val="en-US"/>
        </w:rPr>
      </w:pPr>
    </w:p>
    <w:p w14:paraId="1A1F5A70" w14:textId="77777777" w:rsidR="00B24178" w:rsidRPr="00B24178" w:rsidRDefault="00B24178" w:rsidP="003A09D8">
      <w:pPr>
        <w:pStyle w:val="ListParagraph"/>
        <w:numPr>
          <w:ilvl w:val="0"/>
          <w:numId w:val="39"/>
        </w:numPr>
        <w:ind w:left="360"/>
        <w:rPr>
          <w:rFonts w:ascii="Calibri" w:hAnsi="Calibri" w:cs="Calibri"/>
          <w:color w:val="000000" w:themeColor="text1"/>
          <w:lang w:val="en-US"/>
        </w:rPr>
      </w:pPr>
      <w:r w:rsidRPr="00B24178">
        <w:rPr>
          <w:rFonts w:ascii="Calibri" w:hAnsi="Calibri" w:cs="Calibri"/>
          <w:color w:val="000000" w:themeColor="text1"/>
          <w:lang w:val="en-US"/>
        </w:rPr>
        <w:t xml:space="preserve">Another application is cooling of electronics and electric power equipment such as transformers, electric motors and generators. Although great efforts are made at reducing losses, the cooling system capacity still in many cases is the factor limiting the power density of equipment. </w:t>
      </w:r>
    </w:p>
    <w:p w14:paraId="3FDD4CF6" w14:textId="77777777" w:rsidR="00B24178" w:rsidRPr="00B24178" w:rsidRDefault="00B24178" w:rsidP="00E7092A">
      <w:pPr>
        <w:spacing w:after="0"/>
        <w:rPr>
          <w:rFonts w:cs="Calibri"/>
          <w:color w:val="000000" w:themeColor="text1"/>
          <w:lang w:val="en-US"/>
        </w:rPr>
      </w:pPr>
    </w:p>
    <w:p w14:paraId="27DE3DC7" w14:textId="77777777" w:rsidR="00B24178" w:rsidRPr="00B24178" w:rsidRDefault="00B24178" w:rsidP="003A09D8">
      <w:pPr>
        <w:pStyle w:val="ListParagraph"/>
        <w:numPr>
          <w:ilvl w:val="0"/>
          <w:numId w:val="39"/>
        </w:numPr>
        <w:ind w:left="360"/>
        <w:rPr>
          <w:rFonts w:ascii="Calibri" w:hAnsi="Calibri" w:cs="Calibri"/>
          <w:color w:val="000000"/>
          <w:lang w:val="en-US"/>
        </w:rPr>
      </w:pPr>
      <w:r w:rsidRPr="00B24178">
        <w:rPr>
          <w:rFonts w:ascii="Calibri" w:hAnsi="Calibri" w:cs="Calibri"/>
          <w:color w:val="000000" w:themeColor="text1"/>
          <w:lang w:val="en-US"/>
        </w:rPr>
        <w:t xml:space="preserve">A further example where more collaboration across areas is needed is the steel industry transition to coal-free metallurgy based on hydrogen. A major Swedish research project involving industry and academia, </w:t>
      </w:r>
      <w:r w:rsidRPr="00B24178">
        <w:rPr>
          <w:rFonts w:ascii="Calibri" w:hAnsi="Calibri" w:cs="Calibri"/>
          <w:i/>
          <w:iCs/>
          <w:color w:val="000000" w:themeColor="text1"/>
          <w:lang w:val="en-US"/>
        </w:rPr>
        <w:t>HYBRIT</w:t>
      </w:r>
      <w:r w:rsidRPr="00B24178">
        <w:rPr>
          <w:rFonts w:ascii="Calibri" w:hAnsi="Calibri" w:cs="Calibri"/>
          <w:color w:val="000000" w:themeColor="text1"/>
          <w:lang w:val="en-US"/>
        </w:rPr>
        <w:t>, aims to develop a complete carbon-free metallurgy for the Swedish steel industry based on hydrogen produced from renewable electricity.</w:t>
      </w:r>
    </w:p>
    <w:p w14:paraId="13F4CEEA" w14:textId="77777777" w:rsidR="00B24178" w:rsidRPr="00B24178" w:rsidRDefault="00B24178" w:rsidP="00B24178">
      <w:pPr>
        <w:spacing w:after="0"/>
        <w:rPr>
          <w:rFonts w:cs="Calibri"/>
          <w:color w:val="000000" w:themeColor="text1"/>
          <w:lang w:val="en-US"/>
        </w:rPr>
      </w:pPr>
    </w:p>
    <w:p w14:paraId="31B2B5C2" w14:textId="77777777" w:rsidR="00B24178" w:rsidRPr="00B24178" w:rsidRDefault="00B24178" w:rsidP="00B24178">
      <w:pPr>
        <w:spacing w:after="0"/>
        <w:rPr>
          <w:rFonts w:cs="Calibri"/>
          <w:color w:val="000000"/>
          <w:lang w:val="en-US"/>
        </w:rPr>
      </w:pPr>
      <w:r w:rsidRPr="00B24178">
        <w:rPr>
          <w:rFonts w:cs="Calibri"/>
          <w:color w:val="000000" w:themeColor="text1"/>
          <w:lang w:val="en-US"/>
        </w:rPr>
        <w:t>To facilitate joint work, in the identified synergy areas, it is important to identify funding opportunities. A possible approach here is to seek more European Commission funding, where a team comprising researchers from both departments would be a strong and attractive consortium partner.</w:t>
      </w:r>
    </w:p>
    <w:p w14:paraId="2FF3A9A5" w14:textId="77777777" w:rsidR="00B24178" w:rsidRPr="00C42F90" w:rsidRDefault="00B24178" w:rsidP="00B24178">
      <w:pPr>
        <w:spacing w:after="0"/>
        <w:rPr>
          <w:rFonts w:cs="Calibri"/>
          <w:color w:val="000000"/>
          <w:lang w:val="en-US"/>
        </w:rPr>
      </w:pPr>
    </w:p>
    <w:p w14:paraId="31BFF470" w14:textId="77777777" w:rsidR="00B24178" w:rsidRPr="00C42F90" w:rsidRDefault="00B24178" w:rsidP="00B24178">
      <w:pPr>
        <w:rPr>
          <w:lang w:val="en-US"/>
        </w:rPr>
      </w:pPr>
    </w:p>
    <w:p w14:paraId="2BEB726E" w14:textId="77777777" w:rsidR="00B24178" w:rsidRDefault="00B24178" w:rsidP="00B24178">
      <w:pPr>
        <w:rPr>
          <w:rFonts w:cs="Calibri"/>
          <w:b/>
          <w:bCs/>
          <w:lang w:val="en-US"/>
        </w:rPr>
      </w:pPr>
    </w:p>
    <w:p w14:paraId="6E7FC9C6" w14:textId="77777777" w:rsidR="00B24178" w:rsidRDefault="00B24178">
      <w:pPr>
        <w:spacing w:after="0"/>
        <w:rPr>
          <w:rFonts w:cs="Calibri"/>
          <w:b/>
          <w:bCs/>
          <w:lang w:val="en-US"/>
        </w:rPr>
      </w:pPr>
      <w:r>
        <w:rPr>
          <w:rFonts w:cs="Calibri"/>
          <w:b/>
          <w:bCs/>
          <w:lang w:val="en-US"/>
        </w:rPr>
        <w:br w:type="page"/>
      </w:r>
    </w:p>
    <w:p w14:paraId="33861560" w14:textId="53711B74" w:rsidR="000D6B05" w:rsidRPr="00DA336E" w:rsidRDefault="06831449" w:rsidP="003A09D8">
      <w:pPr>
        <w:pStyle w:val="ListParagraph"/>
        <w:numPr>
          <w:ilvl w:val="0"/>
          <w:numId w:val="12"/>
        </w:numPr>
        <w:rPr>
          <w:rFonts w:ascii="Calibri" w:eastAsiaTheme="majorEastAsia" w:hAnsi="Calibri" w:cs="Calibri"/>
          <w:b/>
          <w:bCs/>
          <w:lang w:val="en-US"/>
        </w:rPr>
      </w:pPr>
      <w:bookmarkStart w:id="2" w:name="EGI_selfevaluation"/>
      <w:r w:rsidRPr="00DA336E">
        <w:rPr>
          <w:rFonts w:ascii="Calibri" w:hAnsi="Calibri" w:cs="Calibri"/>
          <w:b/>
          <w:bCs/>
          <w:lang w:val="en-US"/>
        </w:rPr>
        <w:lastRenderedPageBreak/>
        <w:t>REPORT FOR EACH DEPARTMENT</w:t>
      </w:r>
    </w:p>
    <w:bookmarkEnd w:id="2"/>
    <w:p w14:paraId="35370E0D" w14:textId="77777777" w:rsidR="00DA336E" w:rsidRPr="00DA336E" w:rsidRDefault="00DA336E" w:rsidP="00DA336E">
      <w:pPr>
        <w:pStyle w:val="ListParagraph"/>
        <w:ind w:left="360"/>
        <w:rPr>
          <w:rFonts w:ascii="Calibri" w:eastAsiaTheme="majorEastAsia" w:hAnsi="Calibri" w:cs="Calibri"/>
          <w:b/>
          <w:bCs/>
          <w:lang w:val="en-US"/>
        </w:rPr>
      </w:pPr>
    </w:p>
    <w:p w14:paraId="6CAD7D69" w14:textId="16DD4572" w:rsidR="00910C05" w:rsidRPr="00253F5B" w:rsidRDefault="00910C05" w:rsidP="00B24178">
      <w:pPr>
        <w:jc w:val="both"/>
        <w:rPr>
          <w:rFonts w:eastAsiaTheme="majorEastAsia" w:cs="Calibri"/>
          <w:b/>
          <w:bCs/>
          <w:i/>
          <w:sz w:val="28"/>
          <w:szCs w:val="24"/>
        </w:rPr>
      </w:pPr>
      <w:r w:rsidRPr="00253F5B">
        <w:rPr>
          <w:rFonts w:eastAsiaTheme="majorEastAsia" w:cs="Calibri"/>
          <w:b/>
          <w:bCs/>
          <w:i/>
          <w:sz w:val="28"/>
          <w:szCs w:val="24"/>
        </w:rPr>
        <w:t>DEPARTMENT OF ENERGY TECHNOLOGY</w:t>
      </w:r>
    </w:p>
    <w:p w14:paraId="65C0DD79" w14:textId="77777777" w:rsidR="00910C05" w:rsidRPr="00910C05" w:rsidRDefault="00910C05" w:rsidP="00910C05">
      <w:pPr>
        <w:spacing w:after="0"/>
        <w:rPr>
          <w:rFonts w:eastAsiaTheme="majorEastAsia" w:cs="Calibri"/>
          <w:b/>
          <w:bCs/>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10C05" w:rsidRPr="00910C05" w14:paraId="39565702" w14:textId="77777777" w:rsidTr="00D874A5">
        <w:tc>
          <w:tcPr>
            <w:tcW w:w="8789"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32FD453F" w14:textId="77777777" w:rsidR="00910C05" w:rsidRPr="00910C05" w:rsidRDefault="00910C05" w:rsidP="00910C05">
            <w:pPr>
              <w:spacing w:after="0"/>
              <w:rPr>
                <w:rFonts w:cs="Calibri"/>
                <w:b/>
                <w:szCs w:val="24"/>
              </w:rPr>
            </w:pPr>
            <w:r w:rsidRPr="00910C05">
              <w:rPr>
                <w:rFonts w:cs="Calibri"/>
                <w:b/>
                <w:szCs w:val="24"/>
              </w:rPr>
              <w:t>1. Overall analysis and conclusion; strengths and development areas</w:t>
            </w:r>
          </w:p>
        </w:tc>
      </w:tr>
      <w:tr w:rsidR="00910C05" w:rsidRPr="00910C05" w14:paraId="75BC4D1F" w14:textId="77777777" w:rsidTr="00D874A5">
        <w:tc>
          <w:tcPr>
            <w:tcW w:w="8789" w:type="dxa"/>
            <w:tcBorders>
              <w:top w:val="single" w:sz="8" w:space="0" w:color="auto"/>
              <w:left w:val="single" w:sz="8" w:space="0" w:color="auto"/>
              <w:bottom w:val="single" w:sz="8" w:space="0" w:color="auto"/>
              <w:right w:val="single" w:sz="8" w:space="0" w:color="auto"/>
            </w:tcBorders>
            <w:shd w:val="clear" w:color="auto" w:fill="auto"/>
          </w:tcPr>
          <w:p w14:paraId="4054A864" w14:textId="77777777" w:rsidR="00910C05" w:rsidRPr="00910C05" w:rsidRDefault="00910C05" w:rsidP="00910C05">
            <w:pPr>
              <w:spacing w:after="120"/>
              <w:rPr>
                <w:rFonts w:cs="Calibri"/>
                <w:bCs/>
                <w:szCs w:val="24"/>
                <w:lang w:val="en-US"/>
              </w:rPr>
            </w:pPr>
            <w:r w:rsidRPr="00910C05">
              <w:rPr>
                <w:rFonts w:cs="Calibri"/>
                <w:b/>
                <w:bCs/>
                <w:lang w:val="en-US"/>
              </w:rPr>
              <w:t xml:space="preserve">a. </w:t>
            </w:r>
            <w:r w:rsidRPr="00910C05">
              <w:rPr>
                <w:rFonts w:cs="Calibri"/>
                <w:i/>
                <w:iCs/>
                <w:lang w:val="en-US"/>
              </w:rPr>
              <w:t>Limited SWOT-analysis</w:t>
            </w:r>
          </w:p>
          <w:p w14:paraId="0ACCD4CE" w14:textId="77777777" w:rsidR="00910C05" w:rsidRPr="00910C05" w:rsidRDefault="00910C05" w:rsidP="00910C05">
            <w:pPr>
              <w:spacing w:after="120"/>
              <w:rPr>
                <w:rFonts w:cs="Calibri"/>
                <w:bCs/>
                <w:szCs w:val="24"/>
                <w:lang w:val="en-US"/>
              </w:rPr>
            </w:pPr>
            <w:r w:rsidRPr="00910C05">
              <w:rPr>
                <w:rFonts w:cs="Calibri"/>
                <w:bCs/>
                <w:szCs w:val="24"/>
                <w:lang w:val="en-US"/>
              </w:rPr>
              <w:t>Figure 1 below presents a full SWOT table that has been derived as a summary of the latest strategy workshop of the department’s faculty in January 2020. In the following part we will concentrate on strength and weaknesses only with the two focal areas 1. Research and 2. Organization.</w:t>
            </w:r>
          </w:p>
          <w:p w14:paraId="6F0C9975" w14:textId="77777777" w:rsidR="00910C05" w:rsidRPr="00910C05" w:rsidRDefault="00910C05" w:rsidP="00910C05">
            <w:pPr>
              <w:spacing w:after="120"/>
              <w:rPr>
                <w:rFonts w:cs="Calibri"/>
                <w:bCs/>
                <w:szCs w:val="24"/>
                <w:lang w:val="en-US"/>
              </w:rPr>
            </w:pPr>
            <w:r w:rsidRPr="00910C05">
              <w:rPr>
                <w:noProof/>
                <w:lang w:val="sv-SE" w:eastAsia="sv-SE"/>
              </w:rPr>
              <w:drawing>
                <wp:inline distT="0" distB="0" distL="0" distR="0" wp14:anchorId="27BA4B68" wp14:editId="30EB8C14">
                  <wp:extent cx="5410200" cy="392873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3448" r="13690" b="5938"/>
                          <a:stretch/>
                        </pic:blipFill>
                        <pic:spPr bwMode="auto">
                          <a:xfrm>
                            <a:off x="0" y="0"/>
                            <a:ext cx="5416384" cy="3933229"/>
                          </a:xfrm>
                          <a:prstGeom prst="rect">
                            <a:avLst/>
                          </a:prstGeom>
                          <a:ln>
                            <a:noFill/>
                          </a:ln>
                          <a:extLst>
                            <a:ext uri="{53640926-AAD7-44D8-BBD7-CCE9431645EC}">
                              <a14:shadowObscured xmlns:a14="http://schemas.microsoft.com/office/drawing/2010/main"/>
                            </a:ext>
                          </a:extLst>
                        </pic:spPr>
                      </pic:pic>
                    </a:graphicData>
                  </a:graphic>
                </wp:inline>
              </w:drawing>
            </w:r>
          </w:p>
          <w:p w14:paraId="5168074D" w14:textId="77777777" w:rsidR="00910C05" w:rsidRPr="00910C05" w:rsidRDefault="00910C05" w:rsidP="00910C05">
            <w:pPr>
              <w:spacing w:after="120"/>
              <w:rPr>
                <w:rFonts w:cs="Calibri"/>
                <w:bCs/>
                <w:szCs w:val="24"/>
                <w:lang w:val="en-US"/>
              </w:rPr>
            </w:pPr>
          </w:p>
          <w:p w14:paraId="1EED0119" w14:textId="77777777" w:rsidR="00910C05" w:rsidRPr="00910C05" w:rsidRDefault="00910C05" w:rsidP="00910C05">
            <w:pPr>
              <w:spacing w:after="120"/>
              <w:rPr>
                <w:rFonts w:cs="Calibri"/>
                <w:bCs/>
                <w:szCs w:val="24"/>
                <w:lang w:val="en-US"/>
              </w:rPr>
            </w:pPr>
            <w:r w:rsidRPr="00910C05">
              <w:rPr>
                <w:rFonts w:cs="Calibri"/>
                <w:bCs/>
                <w:szCs w:val="24"/>
                <w:lang w:val="en-US"/>
              </w:rPr>
              <w:t>Strengths in R&amp;D:</w:t>
            </w:r>
          </w:p>
          <w:p w14:paraId="054FD3AF" w14:textId="77777777" w:rsidR="00910C05" w:rsidRPr="00910C05" w:rsidRDefault="00910C05" w:rsidP="00910C05">
            <w:pPr>
              <w:spacing w:after="120"/>
              <w:rPr>
                <w:rFonts w:cs="Calibri"/>
                <w:lang w:val="en-US"/>
              </w:rPr>
            </w:pPr>
            <w:r w:rsidRPr="00910C05">
              <w:rPr>
                <w:rFonts w:cs="Calibri"/>
                <w:lang w:val="en-US"/>
              </w:rPr>
              <w:t>The department has a capacity that covers the whole range of research and development in the field of energy technology from basic research over applied component development and technology demonstration up to systems analysis and policy derivation. This means that our basic research is actually implemented in real applications and has societal impact over time. At the same time, the systems analysis gives us feedback on where to focus our research efforts. This broad research approach is facilitated with our strong laboratory infrastructure encompassing heat transfer, heat pumps, combustion, turbomachinery, wind tunnels, storage, solar power, biofuels and integrated system test-rigs. We have also developed a significant modelling infrastructure for techno-economic analysis, life cycle analysis, mechanical, heat transfer and fluid dynamics as well as geo-spatial system analysis.</w:t>
            </w:r>
          </w:p>
          <w:p w14:paraId="62788B82" w14:textId="77777777" w:rsidR="00910C05" w:rsidRPr="00910C05" w:rsidRDefault="00910C05" w:rsidP="00910C05">
            <w:pPr>
              <w:spacing w:after="120"/>
              <w:rPr>
                <w:rFonts w:cs="Calibri"/>
                <w:lang w:val="en-US"/>
              </w:rPr>
            </w:pPr>
            <w:r w:rsidRPr="00910C05">
              <w:rPr>
                <w:rFonts w:cs="Calibri"/>
                <w:lang w:val="en-US"/>
              </w:rPr>
              <w:lastRenderedPageBreak/>
              <w:t>The department has a number of strong focus areas comprising heat-pumps and refrigeration, turbomachinery, bio fuels, hot and cold storage, energy in the built environment as well as energy systems analysis and optimization with world leading researchers and strong impact with high level publications in Nature and Energy. This research is embedded in a strong international network exemplified in our role as data providers and advisors to the world bank and UN energy programs.</w:t>
            </w:r>
          </w:p>
          <w:p w14:paraId="458CD723" w14:textId="77777777" w:rsidR="00910C05" w:rsidRPr="00910C05" w:rsidRDefault="00910C05" w:rsidP="00910C05">
            <w:pPr>
              <w:spacing w:after="120"/>
              <w:rPr>
                <w:rFonts w:cs="Calibri"/>
                <w:bCs/>
                <w:szCs w:val="24"/>
                <w:lang w:val="en-US"/>
              </w:rPr>
            </w:pPr>
            <w:r w:rsidRPr="00910C05">
              <w:rPr>
                <w:rFonts w:cs="Calibri"/>
                <w:bCs/>
                <w:szCs w:val="24"/>
                <w:lang w:val="en-US"/>
              </w:rPr>
              <w:t>Strength in Organization:</w:t>
            </w:r>
          </w:p>
          <w:p w14:paraId="47263C8C" w14:textId="77777777" w:rsidR="00910C05" w:rsidRPr="00910C05" w:rsidRDefault="00910C05" w:rsidP="00910C05">
            <w:pPr>
              <w:spacing w:after="120"/>
              <w:rPr>
                <w:rFonts w:cs="Calibri"/>
                <w:bCs/>
                <w:szCs w:val="24"/>
                <w:lang w:val="en-US"/>
              </w:rPr>
            </w:pPr>
            <w:r w:rsidRPr="00910C05">
              <w:rPr>
                <w:rFonts w:cs="Calibri"/>
                <w:bCs/>
                <w:szCs w:val="24"/>
                <w:lang w:val="en-US"/>
              </w:rPr>
              <w:t>The department consists of three units (divisions) Heat and Power Technology, Applied Thermodynamics and Refrigeration and Energy Systems that share the research foci with strong research leaders in each unit. Faculty involvement and cooperation within the three divisions is good and well developed. Faculty involvement at EGI level regarding strategy and future development has recently started through common strategy days with mixed group workshops and follow-up twice a year. This provides a good process and organization for managing strategies for new research foci and the identification of recruitment needs. The research funding of the department is dominated by external funding shared between national and international agency funding. The funding is often coupled to industrial or societal involvement and our network in this respect is strong. Overall, it can be said that our department has been adaptive to the changing priorities in field and its stakeholders and new research groups have successfully been built in the fields of energy system analysis and energy for the built environment including a new center (Live-in-Lab). When it comes to support systems one of our strength is the in-house work-shops that have the capacity to build prototypes and provide instrumentation for our laboratories.</w:t>
            </w:r>
          </w:p>
          <w:p w14:paraId="20ED90BE" w14:textId="77777777" w:rsidR="00910C05" w:rsidRPr="00910C05" w:rsidRDefault="00910C05" w:rsidP="00910C05">
            <w:pPr>
              <w:spacing w:after="120"/>
              <w:rPr>
                <w:rFonts w:cs="Calibri"/>
                <w:bCs/>
                <w:szCs w:val="24"/>
                <w:lang w:val="en-US"/>
              </w:rPr>
            </w:pPr>
            <w:r w:rsidRPr="00910C05">
              <w:rPr>
                <w:rFonts w:cs="Calibri"/>
                <w:bCs/>
                <w:szCs w:val="24"/>
                <w:lang w:val="en-US"/>
              </w:rPr>
              <w:t>Weakness in Research:</w:t>
            </w:r>
          </w:p>
          <w:p w14:paraId="54D6803F" w14:textId="77777777" w:rsidR="00910C05" w:rsidRPr="00910C05" w:rsidRDefault="00910C05" w:rsidP="00910C05">
            <w:pPr>
              <w:spacing w:after="120"/>
              <w:rPr>
                <w:rFonts w:cs="Calibri"/>
                <w:bCs/>
                <w:szCs w:val="24"/>
                <w:lang w:val="en-US"/>
              </w:rPr>
            </w:pPr>
            <w:r w:rsidRPr="00910C05">
              <w:rPr>
                <w:rFonts w:cs="Calibri"/>
                <w:bCs/>
                <w:szCs w:val="24"/>
                <w:lang w:val="en-US"/>
              </w:rPr>
              <w:t>With limits in size and shared/competing research interests between our department and sister departments in the electrical engineering school, the school of architecture and the built environment and the chemical engineering school it is difficult for our department to cover all important topics of energy technology for the future. We have a history of strong areas in now matured technologies such as turbomachinery and heat and cold processes that still play an important role in the energy system but that might decline in importance in the future. This is specially noted in the field of industrial turbomachinery where funding levels have decreased significantly nationally. At the same time we lack focus and strategies on some of the important technologies for the energy system of the future, namely ground transport, electric applications, electro-chemical storage and digitalization of the energy system. We are in need to formulate our own goals and implementation strategy for these fields.</w:t>
            </w:r>
          </w:p>
          <w:p w14:paraId="4402C5B5" w14:textId="77777777" w:rsidR="00910C05" w:rsidRPr="00910C05" w:rsidRDefault="00910C05" w:rsidP="00910C05">
            <w:pPr>
              <w:spacing w:after="120"/>
              <w:rPr>
                <w:rFonts w:cs="Calibri"/>
                <w:bCs/>
                <w:szCs w:val="24"/>
                <w:lang w:val="en-US"/>
              </w:rPr>
            </w:pPr>
            <w:r w:rsidRPr="00910C05">
              <w:rPr>
                <w:rFonts w:cs="Calibri"/>
                <w:bCs/>
                <w:szCs w:val="24"/>
                <w:lang w:val="en-US"/>
              </w:rPr>
              <w:t>Weakness in organization:</w:t>
            </w:r>
          </w:p>
          <w:p w14:paraId="39677BE8" w14:textId="77777777" w:rsidR="00910C05" w:rsidRPr="00910C05" w:rsidRDefault="00910C05" w:rsidP="00910C05">
            <w:pPr>
              <w:spacing w:after="120"/>
              <w:rPr>
                <w:rFonts w:cs="Calibri"/>
                <w:bCs/>
                <w:szCs w:val="24"/>
                <w:lang w:val="en-US"/>
              </w:rPr>
            </w:pPr>
            <w:r w:rsidRPr="00910C05">
              <w:rPr>
                <w:rFonts w:cs="Calibri"/>
                <w:bCs/>
                <w:szCs w:val="24"/>
                <w:lang w:val="en-US"/>
              </w:rPr>
              <w:t xml:space="preserve">A general point of concern that is true for all academic organizations is to find the right balance between individual freedom of research and academic career development and strength through group collaboration and sharing of knowledge and resources. At our department the strategy days have shown that the faculty feels a lack of collaboration especially over division boundaries. This results in non-realization of potential synergies such as for example development of common modelling tools and sharing of data, sharing of industrial networks and speaking with one voice to external partners, among other things. This also hinders the build-up of an Energy Technology </w:t>
            </w:r>
            <w:r w:rsidRPr="00910C05">
              <w:rPr>
                <w:rFonts w:cs="Calibri"/>
                <w:bCs/>
                <w:szCs w:val="24"/>
                <w:lang w:val="en-US"/>
              </w:rPr>
              <w:lastRenderedPageBreak/>
              <w:t>institute brand and instead every research group is branding their own names. A common voice would give us significantly more impact especially in the national agenda setting for policy makers and financial stake-holders.</w:t>
            </w:r>
          </w:p>
          <w:p w14:paraId="5209543D" w14:textId="77777777" w:rsidR="00910C05" w:rsidRPr="00910C05" w:rsidRDefault="00910C05" w:rsidP="00910C05">
            <w:pPr>
              <w:spacing w:after="120"/>
              <w:rPr>
                <w:rFonts w:cs="Calibri"/>
                <w:lang w:val="en-US"/>
              </w:rPr>
            </w:pPr>
            <w:r w:rsidRPr="00910C05">
              <w:rPr>
                <w:rFonts w:cs="Calibri"/>
                <w:lang w:val="en-US"/>
              </w:rPr>
              <w:t>Regarding the staffing it is observed that we have a lack in senior and tenure track faculty compared to researcher positions which is related to historical difficulties to get associate professor and professor positions approved in the faulty council. This imbalance has led to an unbalance between teaching and research for many associate Prof. and Prof. where research time has been suffering. At the same time, increasing demands on senior personnel for administrative tasks have been diminishing research time even further. We have at the department an inclusive work environment with a strong international participation. The gender balance on PhD student level is good, but is unfortunately not good in the tenure track and senior faculty positions. Especially worrying is that we do not have any female in the tenure track positions. This has historical reasons but is also related to difficulties to attract and keep women in the recruitment process. Furthermore, we have difficulties to recruit Swedish speaking faculty to teach in our Bachelor courses.</w:t>
            </w:r>
          </w:p>
          <w:p w14:paraId="4AF183A6" w14:textId="77777777" w:rsidR="00910C05" w:rsidRPr="00910C05" w:rsidRDefault="00910C05" w:rsidP="00910C05">
            <w:pPr>
              <w:spacing w:after="120"/>
              <w:rPr>
                <w:rFonts w:cs="Calibri"/>
                <w:lang w:val="en-US"/>
              </w:rPr>
            </w:pPr>
          </w:p>
          <w:p w14:paraId="2E5448D4" w14:textId="77777777" w:rsidR="00910C05" w:rsidRPr="00910C05" w:rsidRDefault="00910C05" w:rsidP="00910C05">
            <w:pPr>
              <w:spacing w:after="120"/>
              <w:rPr>
                <w:rFonts w:cs="Calibri"/>
                <w:bCs/>
                <w:szCs w:val="24"/>
              </w:rPr>
            </w:pPr>
            <w:r w:rsidRPr="00910C05">
              <w:rPr>
                <w:rFonts w:cs="Calibri"/>
                <w:b/>
                <w:bCs/>
              </w:rPr>
              <w:t xml:space="preserve">b. </w:t>
            </w:r>
            <w:r w:rsidRPr="00910C05">
              <w:rPr>
                <w:rFonts w:cs="Calibri"/>
                <w:i/>
                <w:iCs/>
              </w:rPr>
              <w:t>Summary statement on contributions of department on impact, infrastructure and sustainable development</w:t>
            </w:r>
          </w:p>
          <w:p w14:paraId="727AB877" w14:textId="77777777" w:rsidR="00910C05" w:rsidRPr="00910C05" w:rsidRDefault="00910C05" w:rsidP="00910C05">
            <w:pPr>
              <w:spacing w:after="0"/>
            </w:pPr>
            <w:r w:rsidRPr="00910C05">
              <w:rPr>
                <w:rFonts w:eastAsia="Calibri" w:cs="Calibri"/>
                <w:szCs w:val="24"/>
              </w:rPr>
              <w:t xml:space="preserve">The research at the department of Energy Technology is totally focused on topics related to the transition of the energy system towards a sustainable future. As global warming is (one of) the main threat(s) to society during the coming decades, it is obvious that the research within this field is expected to have a large impact on society. Several examples of this impact are given in sections 6a </w:t>
            </w:r>
            <w:r w:rsidRPr="00910C05">
              <w:rPr>
                <w:rFonts w:eastAsia="Calibri" w:cs="Calibri"/>
                <w:i/>
                <w:iCs/>
                <w:szCs w:val="24"/>
              </w:rPr>
              <w:t>Relevance of research to society at large</w:t>
            </w:r>
            <w:r w:rsidRPr="00910C05">
              <w:rPr>
                <w:rFonts w:eastAsia="Calibri" w:cs="Calibri"/>
                <w:szCs w:val="24"/>
              </w:rPr>
              <w:t xml:space="preserve">, 6c </w:t>
            </w:r>
            <w:r w:rsidRPr="00910C05">
              <w:rPr>
                <w:rFonts w:eastAsia="Calibri" w:cs="Calibri"/>
                <w:i/>
                <w:iCs/>
                <w:szCs w:val="24"/>
              </w:rPr>
              <w:t>Sustainability and the United Nations’ Sustainable Development Goals (SDS)</w:t>
            </w:r>
            <w:r w:rsidRPr="00910C05">
              <w:rPr>
                <w:rFonts w:eastAsia="Calibri" w:cs="Calibri"/>
                <w:szCs w:val="24"/>
              </w:rPr>
              <w:t xml:space="preserve">, and 6d </w:t>
            </w:r>
            <w:r w:rsidRPr="00910C05">
              <w:rPr>
                <w:rFonts w:eastAsia="Calibri" w:cs="Calibri"/>
                <w:i/>
                <w:iCs/>
                <w:szCs w:val="24"/>
              </w:rPr>
              <w:t>Impact cases</w:t>
            </w:r>
            <w:r w:rsidRPr="00910C05">
              <w:rPr>
                <w:rFonts w:eastAsia="Calibri" w:cs="Calibri"/>
                <w:szCs w:val="24"/>
              </w:rPr>
              <w:t>. The main cases which are further presented there are related to:</w:t>
            </w:r>
          </w:p>
          <w:p w14:paraId="6903AA0F" w14:textId="77777777" w:rsidR="00910C05" w:rsidRPr="00910C05" w:rsidRDefault="00910C05" w:rsidP="003A09D8">
            <w:pPr>
              <w:numPr>
                <w:ilvl w:val="0"/>
                <w:numId w:val="20"/>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Enabling electricity access in developing countries through the use of the department’s widely used open source code OnSSET</w:t>
            </w:r>
          </w:p>
          <w:p w14:paraId="4C9FF2F7" w14:textId="77777777" w:rsidR="00910C05" w:rsidRPr="00910C05" w:rsidRDefault="00910C05" w:rsidP="003A09D8">
            <w:pPr>
              <w:numPr>
                <w:ilvl w:val="0"/>
                <w:numId w:val="20"/>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Water, energy and land planning in developing countries through the use of the department’s open source code OSe MOSYS</w:t>
            </w:r>
          </w:p>
          <w:p w14:paraId="2F38CEB0" w14:textId="77777777" w:rsidR="00910C05" w:rsidRPr="00910C05" w:rsidRDefault="00910C05" w:rsidP="003A09D8">
            <w:pPr>
              <w:numPr>
                <w:ilvl w:val="0"/>
                <w:numId w:val="20"/>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Integration of solar power and heat pumps in the energy system</w:t>
            </w:r>
          </w:p>
          <w:p w14:paraId="315E116D" w14:textId="77777777" w:rsidR="00910C05" w:rsidRPr="00910C05" w:rsidRDefault="00910C05" w:rsidP="003A09D8">
            <w:pPr>
              <w:numPr>
                <w:ilvl w:val="0"/>
                <w:numId w:val="20"/>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Development of components and systems for Concentrating Solar Power</w:t>
            </w:r>
          </w:p>
          <w:p w14:paraId="00CF5420" w14:textId="77777777" w:rsidR="00910C05" w:rsidRPr="00910C05" w:rsidRDefault="00910C05" w:rsidP="003A09D8">
            <w:pPr>
              <w:numPr>
                <w:ilvl w:val="0"/>
                <w:numId w:val="20"/>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Development of more reliable and efficient turbomachinery </w:t>
            </w:r>
          </w:p>
          <w:p w14:paraId="2CDAF4B7" w14:textId="77777777" w:rsidR="00910C05" w:rsidRPr="00910C05" w:rsidRDefault="00910C05" w:rsidP="003A09D8">
            <w:pPr>
              <w:numPr>
                <w:ilvl w:val="0"/>
                <w:numId w:val="20"/>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KTH Live-in Lab, a cross-disciplinary platform for accelerated innovation in the real-estate sector</w:t>
            </w:r>
          </w:p>
          <w:p w14:paraId="66EAE6F2" w14:textId="77777777" w:rsidR="00910C05" w:rsidRPr="00910C05" w:rsidRDefault="00910C05" w:rsidP="00910C05">
            <w:pPr>
              <w:spacing w:after="0"/>
            </w:pPr>
            <w:r w:rsidRPr="00910C05">
              <w:rPr>
                <w:rFonts w:eastAsia="Calibri" w:cs="Calibri"/>
                <w:szCs w:val="24"/>
                <w:lang w:val="en-US"/>
              </w:rPr>
              <w:t>As one of few at KTH, the Department of Energy Technology has been able to maintain most of the laboratory infrastructure built up during decades. These facilities include both the possibility to design and construct temporary experimental setups in the complete field of thermal engineering, and the possibility to use permanent testbeds and facilities. Three examples of permanent infrastructure:</w:t>
            </w:r>
          </w:p>
          <w:p w14:paraId="5CAACEC8" w14:textId="77777777" w:rsidR="00910C05" w:rsidRPr="00910C05" w:rsidRDefault="00910C05" w:rsidP="003A09D8">
            <w:pPr>
              <w:numPr>
                <w:ilvl w:val="0"/>
                <w:numId w:val="19"/>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The turbomachinery lab, which is considered to be world-class and has been used in several EU-projects</w:t>
            </w:r>
          </w:p>
          <w:p w14:paraId="1FCBB05D" w14:textId="77777777" w:rsidR="00910C05" w:rsidRPr="00910C05" w:rsidRDefault="00910C05" w:rsidP="003A09D8">
            <w:pPr>
              <w:numPr>
                <w:ilvl w:val="0"/>
                <w:numId w:val="19"/>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The solar lab, unique for Europe, used for research related to the receivers of concentrating solar power, </w:t>
            </w:r>
          </w:p>
          <w:p w14:paraId="6439B43A" w14:textId="77777777" w:rsidR="00910C05" w:rsidRPr="00910C05" w:rsidRDefault="00910C05" w:rsidP="003A09D8">
            <w:pPr>
              <w:numPr>
                <w:ilvl w:val="0"/>
                <w:numId w:val="19"/>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lastRenderedPageBreak/>
              <w:t>The climatic chambers and related equipment. The chambers are frequently used for creating well-defined environments for testing heat pumps, refrigeration equipment, heat exchangers, energy storage equipment and insulation materials, windows etc. which can be part of a building’s envelope</w:t>
            </w:r>
            <w:r w:rsidRPr="00910C05">
              <w:rPr>
                <w:rFonts w:asciiTheme="minorHAnsi" w:eastAsiaTheme="minorEastAsia" w:hAnsiTheme="minorHAnsi" w:cs="Calibri"/>
                <w:szCs w:val="24"/>
                <w:lang w:val="en-US" w:eastAsia="sv-SE"/>
              </w:rPr>
              <w:t xml:space="preserve"> </w:t>
            </w:r>
          </w:p>
          <w:p w14:paraId="14C40A1C" w14:textId="77777777" w:rsidR="00910C05" w:rsidRPr="00910C05" w:rsidRDefault="00910C05" w:rsidP="00910C05">
            <w:pPr>
              <w:spacing w:after="0"/>
            </w:pPr>
            <w:r w:rsidRPr="00910C05">
              <w:rPr>
                <w:rFonts w:eastAsia="Calibri" w:cs="Calibri"/>
                <w:szCs w:val="24"/>
                <w:lang w:val="en-US"/>
              </w:rPr>
              <w:t xml:space="preserve">The department is also performing other types of research for which the laboratory is essential. Research on phase change materials and heat transfer fluids require equipment for determining properties such as specific heat, heat of fusion, thermal conductivity, density, viscosity, meting point etc. High class equipment for determining these properties are available within the lab. </w:t>
            </w:r>
          </w:p>
          <w:p w14:paraId="3FC4A35F" w14:textId="77777777" w:rsidR="00910C05" w:rsidRPr="00910C05" w:rsidRDefault="00910C05" w:rsidP="00910C05">
            <w:pPr>
              <w:spacing w:after="0"/>
            </w:pPr>
            <w:r w:rsidRPr="00910C05">
              <w:rPr>
                <w:rFonts w:eastAsia="Calibri" w:cs="Calibri"/>
                <w:szCs w:val="24"/>
                <w:lang w:val="en-US"/>
              </w:rPr>
              <w:t>For temporary tests, the department can, with the help of its skilled staff, design, build and commission test rigs with calibrated sensors for temperature, pressure and flow. Such rigs can for example be used for evaluating new designs of heat exchangers, heat pumping equipment, heat engines etc.</w:t>
            </w:r>
          </w:p>
        </w:tc>
      </w:tr>
      <w:tr w:rsidR="00910C05" w:rsidRPr="00910C05" w14:paraId="791B7CF0" w14:textId="77777777" w:rsidTr="00D874A5">
        <w:tc>
          <w:tcPr>
            <w:tcW w:w="8789" w:type="dxa"/>
            <w:shd w:val="clear" w:color="auto" w:fill="D9D9D9" w:themeFill="background1" w:themeFillShade="D9"/>
          </w:tcPr>
          <w:p w14:paraId="53E7A7C1" w14:textId="77777777" w:rsidR="00910C05" w:rsidRPr="00910C05" w:rsidRDefault="00910C05" w:rsidP="00910C05">
            <w:pPr>
              <w:spacing w:after="0"/>
              <w:rPr>
                <w:rFonts w:eastAsiaTheme="majorEastAsia" w:cs="Calibri"/>
                <w:szCs w:val="24"/>
              </w:rPr>
            </w:pPr>
            <w:r w:rsidRPr="00910C05">
              <w:rPr>
                <w:rFonts w:cs="Calibri"/>
                <w:b/>
                <w:szCs w:val="24"/>
              </w:rPr>
              <w:lastRenderedPageBreak/>
              <w:t>2. Research profile</w:t>
            </w:r>
          </w:p>
        </w:tc>
      </w:tr>
      <w:tr w:rsidR="00910C05" w:rsidRPr="00910C05" w14:paraId="1DBEFCD0" w14:textId="77777777" w:rsidTr="00D874A5">
        <w:tc>
          <w:tcPr>
            <w:tcW w:w="8789" w:type="dxa"/>
          </w:tcPr>
          <w:p w14:paraId="2E94FD9F" w14:textId="77777777" w:rsidR="00910C05" w:rsidRPr="00910C05" w:rsidRDefault="00910C05" w:rsidP="00910C05">
            <w:pPr>
              <w:spacing w:after="120"/>
              <w:rPr>
                <w:rFonts w:cs="Calibri"/>
                <w:szCs w:val="24"/>
              </w:rPr>
            </w:pPr>
            <w:r w:rsidRPr="00910C05">
              <w:rPr>
                <w:rFonts w:cs="Calibri"/>
                <w:b/>
                <w:bCs/>
              </w:rPr>
              <w:t>a.</w:t>
            </w:r>
            <w:r w:rsidRPr="00910C05">
              <w:rPr>
                <w:rFonts w:cs="Calibri"/>
              </w:rPr>
              <w:t xml:space="preserve"> </w:t>
            </w:r>
            <w:r w:rsidRPr="00910C05">
              <w:rPr>
                <w:rFonts w:cs="Calibri"/>
                <w:i/>
                <w:iCs/>
              </w:rPr>
              <w:t>General information of the department</w:t>
            </w:r>
          </w:p>
          <w:p w14:paraId="24D28F1C" w14:textId="77777777" w:rsidR="00910C05" w:rsidRPr="00910C05" w:rsidRDefault="00910C05" w:rsidP="00910C05">
            <w:pPr>
              <w:spacing w:after="0"/>
              <w:rPr>
                <w:rFonts w:cs="Calibri"/>
                <w:szCs w:val="24"/>
              </w:rPr>
            </w:pPr>
            <w:r w:rsidRPr="00910C05">
              <w:rPr>
                <w:rFonts w:cs="Calibri"/>
                <w:szCs w:val="24"/>
              </w:rPr>
              <w:t>The department of Energy Technology is one of seven departments in the school of Industrial Technology and Management. The department is linked to the Energy Platform that is representing KTH energy research across schools and has sister departments in the EECS school and the CBS school. Although interlinked and overlapping the interaction between the sister departments from different schools is generally speaking rather low.</w:t>
            </w:r>
          </w:p>
          <w:p w14:paraId="3CC8F08D" w14:textId="77777777" w:rsidR="00910C05" w:rsidRPr="00910C05" w:rsidRDefault="00910C05" w:rsidP="00910C05">
            <w:pPr>
              <w:spacing w:after="0"/>
              <w:rPr>
                <w:rFonts w:cs="Calibri"/>
                <w:szCs w:val="24"/>
              </w:rPr>
            </w:pPr>
            <w:r w:rsidRPr="00910C05">
              <w:rPr>
                <w:rFonts w:cs="Calibri"/>
                <w:szCs w:val="24"/>
              </w:rPr>
              <w:t xml:space="preserve">The department of Energy Technology has the ambition to provide education and perform research in all fields of energy technology to facilitate access to sustainable energy in Sweden and the world. We do that in close collaboration with societal partners such as policy makers, governing bodies, national and international institutes and agencies, national and international academic collaborations as well as industrial players in Sweden and around the world. The department consists in total of around 100 researchers and teachers including PhD students and is organized in 3 units (divisions): the division of applied thermodynamics and refrigeration, the division of heat and power technology and the new division of energy systems. The divisions are formed to facilitate thematic research collaboration, provide critical mass to research groups and facilitate line administration and are headed by professors of the department. </w:t>
            </w:r>
          </w:p>
          <w:p w14:paraId="03C120BA" w14:textId="77777777" w:rsidR="00910C05" w:rsidRPr="00910C05" w:rsidRDefault="00910C05" w:rsidP="00910C05">
            <w:pPr>
              <w:spacing w:after="0"/>
              <w:rPr>
                <w:rFonts w:cs="Calibri"/>
                <w:szCs w:val="24"/>
              </w:rPr>
            </w:pPr>
            <w:r w:rsidRPr="00910C05">
              <w:rPr>
                <w:rFonts w:cs="Calibri"/>
                <w:szCs w:val="24"/>
              </w:rPr>
              <w:t>As the energy system is transforming, the department of Energy Technology is evolving and covers today a wider range of topics compared to the last RAE. The system perspective has become an important view point and forces us to collaborate more across the divisions. New management process, such as the department wide bi-yearly strategy workshops are aiming to facilitate associated change processes.</w:t>
            </w:r>
          </w:p>
          <w:p w14:paraId="23112855" w14:textId="77777777" w:rsidR="00910C05" w:rsidRPr="00910C05" w:rsidRDefault="00910C05" w:rsidP="00910C05">
            <w:pPr>
              <w:spacing w:after="0"/>
              <w:rPr>
                <w:rFonts w:cs="Calibri"/>
                <w:b/>
                <w:szCs w:val="24"/>
              </w:rPr>
            </w:pPr>
          </w:p>
          <w:p w14:paraId="64451786" w14:textId="77777777" w:rsidR="00910C05" w:rsidRPr="00910C05" w:rsidRDefault="00910C05" w:rsidP="00910C05">
            <w:pPr>
              <w:spacing w:after="120"/>
              <w:rPr>
                <w:rFonts w:cs="Calibri"/>
                <w:i/>
                <w:szCs w:val="24"/>
              </w:rPr>
            </w:pPr>
            <w:r w:rsidRPr="00910C05">
              <w:rPr>
                <w:rFonts w:cs="Calibri"/>
                <w:b/>
                <w:bCs/>
              </w:rPr>
              <w:t>b</w:t>
            </w:r>
            <w:r w:rsidRPr="00910C05">
              <w:rPr>
                <w:rFonts w:cs="Calibri"/>
              </w:rPr>
              <w:t xml:space="preserve">. </w:t>
            </w:r>
            <w:r w:rsidRPr="00910C05">
              <w:rPr>
                <w:rFonts w:cs="Calibri"/>
                <w:i/>
                <w:iCs/>
              </w:rPr>
              <w:t xml:space="preserve">Central research questions and themes, knowledge gaps addressed, main research activities and composition of research team(s) </w:t>
            </w:r>
          </w:p>
          <w:p w14:paraId="49A456EE" w14:textId="77777777" w:rsidR="00910C05" w:rsidRPr="00910C05" w:rsidRDefault="00910C05" w:rsidP="00910C05">
            <w:pPr>
              <w:spacing w:after="0"/>
              <w:rPr>
                <w:rFonts w:cs="Calibri"/>
                <w:iCs/>
                <w:szCs w:val="24"/>
              </w:rPr>
            </w:pPr>
            <w:r w:rsidRPr="00910C05">
              <w:rPr>
                <w:rFonts w:cs="Calibri"/>
                <w:iCs/>
                <w:szCs w:val="24"/>
              </w:rPr>
              <w:t xml:space="preserve">The department of Energy Technology conducts research that, from an overall perspective, is fundamental for the transition of the energy sector to sustainability. This work is, from a topical point of view, organized in </w:t>
            </w:r>
            <w:r w:rsidRPr="00910C05">
              <w:rPr>
                <w:rFonts w:cs="Calibri"/>
                <w:iCs/>
                <w:szCs w:val="24"/>
                <w:u w:val="single"/>
              </w:rPr>
              <w:t>three divisions</w:t>
            </w:r>
            <w:r w:rsidRPr="00910C05">
              <w:rPr>
                <w:rFonts w:cs="Calibri"/>
                <w:iCs/>
                <w:szCs w:val="24"/>
              </w:rPr>
              <w:t>:</w:t>
            </w:r>
          </w:p>
          <w:p w14:paraId="40A7CDD7" w14:textId="77777777" w:rsidR="00910C05" w:rsidRPr="00910C05" w:rsidRDefault="00910C05" w:rsidP="00910C05">
            <w:pPr>
              <w:spacing w:after="0"/>
              <w:rPr>
                <w:rFonts w:cs="Calibri"/>
                <w:iCs/>
                <w:szCs w:val="24"/>
              </w:rPr>
            </w:pPr>
          </w:p>
          <w:p w14:paraId="009081BC" w14:textId="77777777" w:rsidR="00910C05" w:rsidRPr="00910C05" w:rsidRDefault="00910C05" w:rsidP="003A09D8">
            <w:pPr>
              <w:numPr>
                <w:ilvl w:val="0"/>
                <w:numId w:val="28"/>
              </w:numPr>
              <w:spacing w:after="0"/>
              <w:contextualSpacing/>
              <w:rPr>
                <w:rFonts w:eastAsiaTheme="minorEastAsia" w:cs="Calibri"/>
                <w:iCs/>
                <w:szCs w:val="24"/>
                <w:lang w:val="en-US" w:eastAsia="sv-SE"/>
              </w:rPr>
            </w:pPr>
            <w:r w:rsidRPr="00910C05">
              <w:rPr>
                <w:rFonts w:eastAsiaTheme="minorEastAsia" w:cs="Calibri"/>
                <w:b/>
                <w:i/>
                <w:iCs/>
                <w:szCs w:val="24"/>
                <w:lang w:val="en-US" w:eastAsia="sv-SE"/>
              </w:rPr>
              <w:lastRenderedPageBreak/>
              <w:t>Energy Systems</w:t>
            </w:r>
            <w:r w:rsidRPr="00910C05">
              <w:rPr>
                <w:rFonts w:eastAsiaTheme="minorEastAsia" w:cs="Calibri"/>
                <w:iCs/>
                <w:szCs w:val="24"/>
                <w:lang w:val="en-US" w:eastAsia="sv-SE"/>
              </w:rPr>
              <w:t>, where a broad system perspective is used for linking energy technology, policy and innovation to sustainable development. Optimization modelling is done, and tools developed, for planning of least-cost electrification in developing regions, and integrated climate-land-energy-water (CLEWs) analysis for a number of applications.</w:t>
            </w:r>
          </w:p>
          <w:p w14:paraId="42CDA77E" w14:textId="77777777" w:rsidR="00910C05" w:rsidRPr="00910C05" w:rsidRDefault="00910C05" w:rsidP="003A09D8">
            <w:pPr>
              <w:numPr>
                <w:ilvl w:val="0"/>
                <w:numId w:val="28"/>
              </w:numPr>
              <w:spacing w:after="0"/>
              <w:contextualSpacing/>
              <w:rPr>
                <w:rFonts w:eastAsiaTheme="minorEastAsia" w:cs="Calibri"/>
                <w:szCs w:val="24"/>
                <w:lang w:val="en-US" w:eastAsia="sv-SE"/>
              </w:rPr>
            </w:pPr>
            <w:r w:rsidRPr="00910C05">
              <w:rPr>
                <w:rFonts w:eastAsiaTheme="minorEastAsia" w:cs="Calibri"/>
                <w:b/>
                <w:bCs/>
                <w:i/>
                <w:iCs/>
                <w:szCs w:val="24"/>
                <w:lang w:val="en-US" w:eastAsia="sv-SE"/>
              </w:rPr>
              <w:t>Heat and Power Technology</w:t>
            </w:r>
            <w:r w:rsidRPr="00910C05">
              <w:rPr>
                <w:rFonts w:eastAsiaTheme="minorEastAsia" w:cs="Calibri"/>
                <w:szCs w:val="24"/>
                <w:lang w:val="en-US" w:eastAsia="sv-SE"/>
              </w:rPr>
              <w:t>, where focus is on: polygeneration of electricity and other services (heating, cold, water purification …); biofuels and their relation to power systems and co-generation; and turbomachinery – fundamentals, and applications. The division hosts world class experimental rigs, which is used in combine with modeling tools in CFD environment and for optimization.</w:t>
            </w:r>
          </w:p>
          <w:p w14:paraId="669F6E54" w14:textId="77777777" w:rsidR="00910C05" w:rsidRPr="00910C05" w:rsidRDefault="00910C05" w:rsidP="003A09D8">
            <w:pPr>
              <w:numPr>
                <w:ilvl w:val="0"/>
                <w:numId w:val="28"/>
              </w:numPr>
              <w:spacing w:after="0"/>
              <w:contextualSpacing/>
              <w:rPr>
                <w:rFonts w:eastAsiaTheme="minorEastAsia" w:cs="Calibri"/>
                <w:iCs/>
                <w:szCs w:val="24"/>
                <w:lang w:val="en-US" w:eastAsia="sv-SE"/>
              </w:rPr>
            </w:pPr>
            <w:r w:rsidRPr="00910C05">
              <w:rPr>
                <w:rFonts w:eastAsiaTheme="minorEastAsia" w:cs="Calibri"/>
                <w:b/>
                <w:i/>
                <w:iCs/>
                <w:szCs w:val="24"/>
                <w:lang w:val="en-US" w:eastAsia="sv-SE"/>
              </w:rPr>
              <w:t>Applied Thermodynamics and Refrigeration</w:t>
            </w:r>
            <w:r w:rsidRPr="00910C05">
              <w:rPr>
                <w:rFonts w:eastAsiaTheme="minorEastAsia" w:cs="Calibri"/>
                <w:iCs/>
                <w:szCs w:val="24"/>
                <w:lang w:val="en-US" w:eastAsia="sv-SE"/>
              </w:rPr>
              <w:t>, where focus is on energy transformations in the built environment. Research targets a wide variety of applications, from users and energy flows in cities and buildings, to design and evaluation of system components, to fluid and material properties. The division has a particular competence in heat pumping technologies and refrigeration, and conducts the research in its wide-ranging experimental facility, as well as through system and CFD models developed.</w:t>
            </w:r>
          </w:p>
          <w:p w14:paraId="0D5884DB" w14:textId="77777777" w:rsidR="00910C05" w:rsidRPr="00910C05" w:rsidRDefault="00910C05" w:rsidP="00910C05">
            <w:pPr>
              <w:spacing w:after="0"/>
              <w:ind w:left="720"/>
              <w:contextualSpacing/>
              <w:rPr>
                <w:rFonts w:eastAsiaTheme="minorEastAsia" w:cs="Calibri"/>
                <w:iCs/>
                <w:szCs w:val="24"/>
                <w:lang w:val="en-US" w:eastAsia="sv-SE"/>
              </w:rPr>
            </w:pPr>
          </w:p>
          <w:p w14:paraId="17ED6E19" w14:textId="77777777" w:rsidR="00910C05" w:rsidRPr="00910C05" w:rsidRDefault="00910C05" w:rsidP="00910C05">
            <w:pPr>
              <w:rPr>
                <w:rFonts w:cs="Calibri"/>
                <w:lang w:val="en-US"/>
              </w:rPr>
            </w:pPr>
            <w:r w:rsidRPr="00910C05">
              <w:rPr>
                <w:rFonts w:cs="Calibri"/>
                <w:lang w:val="en-US"/>
              </w:rPr>
              <w:t xml:space="preserve">Typically, the research work is conducted within sub-groups at each division, such that a group leader (a PhD qualified senior researcher being professor, assoc prof, assist prof, or researcher) works with a varying set of postdocs, and PhD students. Collaboration between research groups are encouraged, but presently not developed to the extent desired (see minor SWOT). For the department’s overall research output, within and cross-divisions, the following </w:t>
            </w:r>
            <w:r w:rsidRPr="00910C05">
              <w:rPr>
                <w:rFonts w:cs="Calibri"/>
                <w:b/>
                <w:bCs/>
                <w:lang w:val="en-US"/>
              </w:rPr>
              <w:t>research questions</w:t>
            </w:r>
            <w:r w:rsidRPr="00910C05">
              <w:rPr>
                <w:rFonts w:cs="Calibri"/>
                <w:lang w:val="en-US"/>
              </w:rPr>
              <w:t xml:space="preserve"> have been formulated:</w:t>
            </w:r>
          </w:p>
          <w:p w14:paraId="0AA572D4" w14:textId="77777777" w:rsidR="00910C05" w:rsidRPr="00910C05" w:rsidRDefault="00910C05" w:rsidP="003A09D8">
            <w:pPr>
              <w:numPr>
                <w:ilvl w:val="0"/>
                <w:numId w:val="30"/>
              </w:numPr>
              <w:spacing w:after="0"/>
              <w:contextualSpacing/>
              <w:rPr>
                <w:rFonts w:eastAsiaTheme="minorEastAsia" w:cs="Calibri"/>
                <w:iCs/>
                <w:szCs w:val="24"/>
                <w:lang w:val="en-US" w:eastAsia="sv-SE"/>
              </w:rPr>
            </w:pPr>
            <w:r w:rsidRPr="00910C05">
              <w:rPr>
                <w:rFonts w:eastAsiaTheme="minorEastAsia" w:cs="Calibri"/>
                <w:iCs/>
                <w:szCs w:val="24"/>
                <w:lang w:val="en-US" w:eastAsia="sv-SE"/>
              </w:rPr>
              <w:t>How to speed up the adoption of low emission technologies with policy, innovation and business models?</w:t>
            </w:r>
          </w:p>
          <w:p w14:paraId="0832D5E8" w14:textId="77777777" w:rsidR="00910C05" w:rsidRPr="00910C05" w:rsidRDefault="00910C05" w:rsidP="003A09D8">
            <w:pPr>
              <w:numPr>
                <w:ilvl w:val="0"/>
                <w:numId w:val="30"/>
              </w:numPr>
              <w:spacing w:after="0"/>
              <w:contextualSpacing/>
              <w:rPr>
                <w:rFonts w:eastAsiaTheme="minorEastAsia" w:cs="Calibri"/>
                <w:iCs/>
                <w:szCs w:val="24"/>
                <w:lang w:val="en-US" w:eastAsia="sv-SE"/>
              </w:rPr>
            </w:pPr>
            <w:r w:rsidRPr="00910C05">
              <w:rPr>
                <w:rFonts w:eastAsiaTheme="minorEastAsia" w:cs="Calibri"/>
                <w:iCs/>
                <w:szCs w:val="24"/>
                <w:lang w:val="en-US" w:eastAsia="sv-SE"/>
              </w:rPr>
              <w:t>How to integrate large shares of renewable energy in supply?</w:t>
            </w:r>
          </w:p>
          <w:p w14:paraId="2144E32D" w14:textId="77777777" w:rsidR="00910C05" w:rsidRPr="00910C05" w:rsidRDefault="00910C05" w:rsidP="003A09D8">
            <w:pPr>
              <w:numPr>
                <w:ilvl w:val="0"/>
                <w:numId w:val="30"/>
              </w:numPr>
              <w:spacing w:after="0"/>
              <w:contextualSpacing/>
              <w:rPr>
                <w:rFonts w:eastAsiaTheme="minorEastAsia" w:cs="Calibri"/>
                <w:iCs/>
                <w:szCs w:val="24"/>
                <w:lang w:val="en-US" w:eastAsia="sv-SE"/>
              </w:rPr>
            </w:pPr>
            <w:r w:rsidRPr="00910C05">
              <w:rPr>
                <w:rFonts w:eastAsiaTheme="minorEastAsia" w:cs="Calibri"/>
                <w:iCs/>
                <w:szCs w:val="24"/>
                <w:lang w:val="en-US" w:eastAsia="sv-SE"/>
              </w:rPr>
              <w:t>How energy systems affect, and are affected by other sectors and topics? (e.g., physical connection climate, land, water; across scales – households, cities, regions, nations; circular economy and inequalities).</w:t>
            </w:r>
          </w:p>
          <w:p w14:paraId="6ACBEA2B" w14:textId="77777777" w:rsidR="00910C05" w:rsidRPr="00910C05" w:rsidRDefault="00910C05" w:rsidP="003A09D8">
            <w:pPr>
              <w:numPr>
                <w:ilvl w:val="0"/>
                <w:numId w:val="30"/>
              </w:numPr>
              <w:spacing w:after="0"/>
              <w:contextualSpacing/>
              <w:rPr>
                <w:rFonts w:eastAsiaTheme="minorEastAsia" w:cs="Calibri"/>
                <w:iCs/>
                <w:szCs w:val="24"/>
                <w:lang w:val="en-US" w:eastAsia="sv-SE"/>
              </w:rPr>
            </w:pPr>
            <w:r w:rsidRPr="00910C05">
              <w:rPr>
                <w:rFonts w:eastAsiaTheme="minorEastAsia" w:cs="Calibri"/>
                <w:iCs/>
                <w:szCs w:val="24"/>
                <w:lang w:val="en-US" w:eastAsia="sv-SE"/>
              </w:rPr>
              <w:t>How will artificial intelligence and cyber security affect future energy systems, and potentially aid the transformation towards sustainability?</w:t>
            </w:r>
          </w:p>
          <w:p w14:paraId="2BE375FF" w14:textId="77777777" w:rsidR="00910C05" w:rsidRPr="00910C05" w:rsidRDefault="00910C05" w:rsidP="003A09D8">
            <w:pPr>
              <w:numPr>
                <w:ilvl w:val="0"/>
                <w:numId w:val="30"/>
              </w:numPr>
              <w:spacing w:after="0"/>
              <w:contextualSpacing/>
              <w:rPr>
                <w:rFonts w:eastAsiaTheme="minorEastAsia" w:cs="Calibri"/>
                <w:szCs w:val="24"/>
                <w:lang w:val="en-US" w:eastAsia="sv-SE"/>
              </w:rPr>
            </w:pPr>
            <w:r w:rsidRPr="00910C05">
              <w:rPr>
                <w:rFonts w:eastAsiaTheme="minorEastAsia" w:cs="Calibri"/>
                <w:szCs w:val="24"/>
                <w:lang w:val="en-US" w:eastAsia="sv-SE"/>
              </w:rPr>
              <w:t>How to use models with a high spatial and temporal resolution for understanding energy systems?</w:t>
            </w:r>
          </w:p>
          <w:p w14:paraId="50329393" w14:textId="77777777" w:rsidR="00910C05" w:rsidRPr="00910C05" w:rsidRDefault="00910C05" w:rsidP="00910C05">
            <w:pPr>
              <w:spacing w:after="0"/>
              <w:ind w:left="720"/>
              <w:contextualSpacing/>
              <w:rPr>
                <w:rFonts w:eastAsiaTheme="minorEastAsia" w:cs="Calibri"/>
                <w:iCs/>
                <w:szCs w:val="24"/>
                <w:lang w:val="en-US" w:eastAsia="sv-SE"/>
              </w:rPr>
            </w:pPr>
          </w:p>
          <w:p w14:paraId="3F54435F" w14:textId="77777777" w:rsidR="00910C05" w:rsidRPr="00910C05" w:rsidRDefault="00910C05" w:rsidP="00910C05">
            <w:pPr>
              <w:rPr>
                <w:rFonts w:cs="Calibri"/>
                <w:iCs/>
                <w:lang w:val="en-US"/>
              </w:rPr>
            </w:pPr>
            <w:r w:rsidRPr="00910C05">
              <w:rPr>
                <w:rFonts w:cs="Calibri"/>
                <w:iCs/>
                <w:lang w:val="en-US"/>
              </w:rPr>
              <w:t xml:space="preserve">All of the above research questions benefit to a large extent from </w:t>
            </w:r>
            <w:r w:rsidRPr="00910C05">
              <w:rPr>
                <w:rFonts w:cs="Calibri"/>
                <w:iCs/>
                <w:u w:val="single"/>
                <w:lang w:val="en-US"/>
              </w:rPr>
              <w:t>multidisciplinary</w:t>
            </w:r>
            <w:r w:rsidRPr="00910C05">
              <w:rPr>
                <w:rFonts w:cs="Calibri"/>
                <w:iCs/>
                <w:lang w:val="en-US"/>
              </w:rPr>
              <w:t xml:space="preserve"> relations. Within our department, most researchers have engineering backgrounds but from a variety of fields. We thrive on our extensive network of actors (academic, industrial, government, etc) with a wide range of expertise and experiences.</w:t>
            </w:r>
          </w:p>
          <w:p w14:paraId="1EA96C9B" w14:textId="77777777" w:rsidR="00910C05" w:rsidRPr="00910C05" w:rsidRDefault="00910C05" w:rsidP="00910C05">
            <w:pPr>
              <w:rPr>
                <w:rFonts w:cs="Calibri"/>
                <w:lang w:val="en-US"/>
              </w:rPr>
            </w:pPr>
            <w:r w:rsidRPr="00910C05">
              <w:rPr>
                <w:rFonts w:cs="Calibri"/>
                <w:lang w:val="en-US"/>
              </w:rPr>
              <w:t xml:space="preserve">For our research, </w:t>
            </w:r>
            <w:r w:rsidRPr="00910C05">
              <w:rPr>
                <w:rFonts w:cs="Calibri"/>
                <w:u w:val="single"/>
                <w:lang w:val="en-US"/>
              </w:rPr>
              <w:t>gender aspects</w:t>
            </w:r>
            <w:r w:rsidRPr="00910C05">
              <w:rPr>
                <w:rFonts w:cs="Calibri"/>
                <w:lang w:val="en-US"/>
              </w:rPr>
              <w:t xml:space="preserve"> shall be considered from two perspectives: i) its importance for the team composition; and ii) its importance for the research questions considered. For the </w:t>
            </w:r>
            <w:r w:rsidRPr="00910C05">
              <w:rPr>
                <w:rFonts w:cs="Calibri"/>
                <w:i/>
                <w:iCs/>
                <w:lang w:val="en-US"/>
              </w:rPr>
              <w:t>team composition</w:t>
            </w:r>
            <w:r w:rsidRPr="00910C05">
              <w:rPr>
                <w:rFonts w:cs="Calibri"/>
                <w:lang w:val="en-US"/>
              </w:rPr>
              <w:t xml:space="preserve">, gender issues must be addressed until there is a near 50/50 % representation among professors, senior researchers, and PhD students. This is because only then can we be sure that we have attracted available talent to the </w:t>
            </w:r>
            <w:r w:rsidRPr="00910C05">
              <w:rPr>
                <w:rFonts w:cs="Calibri"/>
                <w:lang w:val="en-US"/>
              </w:rPr>
              <w:lastRenderedPageBreak/>
              <w:t xml:space="preserve">best of our potential. In order to be able to accomplish that we need to attract more female students to MSc studies and applicants to our positions. At present, this is not the case and further addressed under item 3 c and d. For our </w:t>
            </w:r>
            <w:r w:rsidRPr="00910C05">
              <w:rPr>
                <w:rFonts w:cs="Calibri"/>
                <w:i/>
                <w:iCs/>
                <w:lang w:val="en-US"/>
              </w:rPr>
              <w:t>research questions</w:t>
            </w:r>
            <w:r w:rsidRPr="00910C05">
              <w:rPr>
                <w:rFonts w:cs="Calibri"/>
                <w:lang w:val="en-US"/>
              </w:rPr>
              <w:t>, gender is not specifically considered at present. However, it is part of the UN’s sustainable development goals and we have many opportunities to develop the inclusion of gender aspects in future projects, e.g. by considering methods for more inclusive energy planning and decision-making processes; as well as in gender aspects in design of technologies.</w:t>
            </w:r>
          </w:p>
          <w:p w14:paraId="64B828A9" w14:textId="77777777" w:rsidR="00910C05" w:rsidRPr="00910C05" w:rsidRDefault="00910C05" w:rsidP="00910C05">
            <w:pPr>
              <w:rPr>
                <w:rFonts w:cs="Calibri"/>
                <w:iCs/>
                <w:lang w:val="en-US"/>
              </w:rPr>
            </w:pPr>
            <w:r w:rsidRPr="00910C05">
              <w:rPr>
                <w:rFonts w:cs="Calibri"/>
                <w:iCs/>
                <w:lang w:val="en-US"/>
              </w:rPr>
              <w:t xml:space="preserve">Finally, some recent, </w:t>
            </w:r>
            <w:r w:rsidRPr="00910C05">
              <w:rPr>
                <w:rFonts w:cs="Calibri"/>
                <w:iCs/>
                <w:u w:val="single"/>
                <w:lang w:val="en-US"/>
              </w:rPr>
              <w:t>concrete examples</w:t>
            </w:r>
            <w:r w:rsidRPr="00910C05">
              <w:rPr>
                <w:rFonts w:cs="Calibri"/>
                <w:iCs/>
                <w:lang w:val="en-US"/>
              </w:rPr>
              <w:t xml:space="preserve"> of research questions addressed in our work are:</w:t>
            </w:r>
          </w:p>
          <w:p w14:paraId="07FCB7A3" w14:textId="77777777" w:rsidR="00910C05" w:rsidRPr="00910C05" w:rsidRDefault="00910C05" w:rsidP="003A09D8">
            <w:pPr>
              <w:numPr>
                <w:ilvl w:val="0"/>
                <w:numId w:val="29"/>
              </w:numPr>
              <w:spacing w:after="0"/>
              <w:contextualSpacing/>
              <w:rPr>
                <w:rFonts w:eastAsiaTheme="minorEastAsia" w:cs="Calibri"/>
                <w:iCs/>
                <w:szCs w:val="24"/>
                <w:lang w:val="en-US" w:eastAsia="sv-SE"/>
              </w:rPr>
            </w:pPr>
            <w:r w:rsidRPr="00910C05">
              <w:rPr>
                <w:rFonts w:eastAsiaTheme="minorEastAsia" w:cs="Calibri"/>
                <w:iCs/>
                <w:szCs w:val="24"/>
                <w:lang w:val="en-US" w:eastAsia="sv-SE"/>
              </w:rPr>
              <w:t xml:space="preserve">Related to </w:t>
            </w:r>
            <w:r w:rsidRPr="00910C05">
              <w:rPr>
                <w:rFonts w:eastAsiaTheme="minorEastAsia" w:cs="Calibri"/>
                <w:b/>
                <w:i/>
                <w:iCs/>
                <w:szCs w:val="24"/>
                <w:lang w:val="en-US" w:eastAsia="sv-SE"/>
              </w:rPr>
              <w:t>Sustainable Energy Access for All</w:t>
            </w:r>
            <w:r w:rsidRPr="00910C05">
              <w:rPr>
                <w:rFonts w:eastAsiaTheme="minorEastAsia" w:cs="Calibri"/>
                <w:iCs/>
                <w:szCs w:val="24"/>
                <w:vertAlign w:val="superscript"/>
                <w:lang w:val="en-US" w:eastAsia="sv-SE"/>
              </w:rPr>
              <w:footnoteReference w:id="1"/>
            </w:r>
          </w:p>
          <w:p w14:paraId="051D8C56" w14:textId="77777777" w:rsidR="00910C05" w:rsidRPr="00910C05" w:rsidRDefault="00910C05" w:rsidP="003A09D8">
            <w:pPr>
              <w:numPr>
                <w:ilvl w:val="1"/>
                <w:numId w:val="29"/>
              </w:numPr>
              <w:spacing w:after="0"/>
              <w:contextualSpacing/>
              <w:rPr>
                <w:rFonts w:eastAsiaTheme="minorEastAsia" w:cs="Calibri"/>
                <w:szCs w:val="24"/>
                <w:lang w:val="en-US" w:eastAsia="sv-SE"/>
              </w:rPr>
            </w:pPr>
            <w:r w:rsidRPr="00910C05">
              <w:rPr>
                <w:rFonts w:eastAsiaTheme="minorEastAsia" w:cs="Calibri"/>
                <w:szCs w:val="24"/>
                <w:lang w:val="en-US" w:eastAsia="sv-SE"/>
              </w:rPr>
              <w:t>What metrics are appropriate for supporting energy access-and-use planning and how can techno-economic models support national strategies?</w:t>
            </w:r>
          </w:p>
          <w:p w14:paraId="599D617C" w14:textId="77777777" w:rsidR="00910C05" w:rsidRPr="00910C05" w:rsidRDefault="00910C05" w:rsidP="003A09D8">
            <w:pPr>
              <w:numPr>
                <w:ilvl w:val="0"/>
                <w:numId w:val="29"/>
              </w:numPr>
              <w:spacing w:after="0"/>
              <w:contextualSpacing/>
              <w:rPr>
                <w:rFonts w:eastAsiaTheme="minorEastAsia" w:cs="Calibri"/>
                <w:iCs/>
                <w:szCs w:val="24"/>
                <w:lang w:val="en-US" w:eastAsia="sv-SE"/>
              </w:rPr>
            </w:pPr>
            <w:r w:rsidRPr="00910C05">
              <w:rPr>
                <w:rFonts w:eastAsiaTheme="minorEastAsia" w:cs="Calibri"/>
                <w:iCs/>
                <w:szCs w:val="24"/>
                <w:lang w:val="en-US" w:eastAsia="sv-SE"/>
              </w:rPr>
              <w:t xml:space="preserve">Related to </w:t>
            </w:r>
            <w:r w:rsidRPr="00910C05">
              <w:rPr>
                <w:rFonts w:eastAsiaTheme="minorEastAsia" w:cs="Calibri"/>
                <w:b/>
                <w:i/>
                <w:iCs/>
                <w:szCs w:val="24"/>
                <w:lang w:val="en-US" w:eastAsia="sv-SE"/>
              </w:rPr>
              <w:t>Renewable Energy Deployment in the EU</w:t>
            </w:r>
            <w:r w:rsidRPr="00910C05">
              <w:rPr>
                <w:rFonts w:eastAsiaTheme="minorEastAsia" w:cs="Calibri"/>
                <w:iCs/>
                <w:szCs w:val="24"/>
                <w:vertAlign w:val="superscript"/>
                <w:lang w:val="en-US" w:eastAsia="sv-SE"/>
              </w:rPr>
              <w:footnoteReference w:id="2"/>
            </w:r>
          </w:p>
          <w:p w14:paraId="05B1AC44" w14:textId="77777777" w:rsidR="00910C05" w:rsidRPr="00910C05" w:rsidRDefault="00910C05" w:rsidP="003A09D8">
            <w:pPr>
              <w:numPr>
                <w:ilvl w:val="1"/>
                <w:numId w:val="29"/>
              </w:numPr>
              <w:spacing w:after="0"/>
              <w:contextualSpacing/>
              <w:rPr>
                <w:rFonts w:eastAsiaTheme="minorEastAsia" w:cs="Calibri"/>
                <w:iCs/>
                <w:szCs w:val="24"/>
                <w:lang w:val="en-US" w:eastAsia="sv-SE"/>
              </w:rPr>
            </w:pPr>
            <w:r w:rsidRPr="00910C05">
              <w:rPr>
                <w:rFonts w:eastAsiaTheme="minorEastAsia" w:cs="Calibri"/>
                <w:iCs/>
                <w:szCs w:val="24"/>
                <w:lang w:val="en-US" w:eastAsia="sv-SE"/>
              </w:rPr>
              <w:t>What are the key policy drivers of renewable energy deployment in the EU, and to what extent can flexibility through energy storage and cross-border interconnectors contribute to achieving the EU renewable energy targets?</w:t>
            </w:r>
          </w:p>
          <w:p w14:paraId="0C2A547E" w14:textId="77777777" w:rsidR="00910C05" w:rsidRPr="00910C05" w:rsidRDefault="00910C05" w:rsidP="003A09D8">
            <w:pPr>
              <w:numPr>
                <w:ilvl w:val="0"/>
                <w:numId w:val="29"/>
              </w:numPr>
              <w:spacing w:after="0"/>
              <w:contextualSpacing/>
              <w:rPr>
                <w:rFonts w:eastAsiaTheme="minorEastAsia" w:cs="Calibri"/>
                <w:szCs w:val="24"/>
                <w:lang w:val="en-US" w:eastAsia="sv-SE"/>
              </w:rPr>
            </w:pPr>
            <w:r w:rsidRPr="00910C05">
              <w:rPr>
                <w:rFonts w:eastAsiaTheme="minorEastAsia" w:cs="Calibri"/>
                <w:szCs w:val="24"/>
                <w:lang w:val="en-US" w:eastAsia="sv-SE"/>
              </w:rPr>
              <w:t xml:space="preserve">Related to </w:t>
            </w:r>
            <w:r w:rsidRPr="00910C05">
              <w:rPr>
                <w:rFonts w:eastAsiaTheme="minorEastAsia" w:cs="Calibri"/>
                <w:b/>
                <w:bCs/>
                <w:i/>
                <w:iCs/>
                <w:szCs w:val="24"/>
                <w:lang w:val="en-US" w:eastAsia="sv-SE"/>
              </w:rPr>
              <w:t>Synthetic Liquid Fuels Production</w:t>
            </w:r>
            <w:r w:rsidRPr="00910C05">
              <w:rPr>
                <w:rFonts w:eastAsiaTheme="minorEastAsia" w:cs="Calibri"/>
                <w:b/>
                <w:bCs/>
                <w:i/>
                <w:iCs/>
                <w:szCs w:val="24"/>
                <w:vertAlign w:val="superscript"/>
                <w:lang w:val="en-US" w:eastAsia="sv-SE"/>
              </w:rPr>
              <w:footnoteReference w:id="3"/>
            </w:r>
            <w:r w:rsidRPr="00910C05">
              <w:rPr>
                <w:rFonts w:eastAsiaTheme="minorEastAsia" w:cs="Calibri"/>
                <w:szCs w:val="24"/>
                <w:lang w:val="en-US" w:eastAsia="sv-SE"/>
              </w:rPr>
              <w:t>:</w:t>
            </w:r>
          </w:p>
          <w:p w14:paraId="4EF82A8F" w14:textId="77777777" w:rsidR="00910C05" w:rsidRPr="00910C05" w:rsidRDefault="00910C05" w:rsidP="003A09D8">
            <w:pPr>
              <w:numPr>
                <w:ilvl w:val="1"/>
                <w:numId w:val="29"/>
              </w:numPr>
              <w:spacing w:after="0"/>
              <w:contextualSpacing/>
              <w:rPr>
                <w:rFonts w:eastAsiaTheme="minorEastAsia" w:cs="Calibri"/>
                <w:szCs w:val="24"/>
                <w:lang w:val="en-US" w:eastAsia="sv-SE"/>
              </w:rPr>
            </w:pPr>
            <w:r w:rsidRPr="00910C05">
              <w:rPr>
                <w:rFonts w:eastAsiaTheme="minorEastAsia" w:cs="Calibri"/>
                <w:szCs w:val="24"/>
                <w:lang w:val="en-US" w:eastAsia="sv-SE"/>
              </w:rPr>
              <w:t>How should production pathways for production of synthetic fuels from renewable energies be organized, with respect to technology integration, sub-system size optimization and operating conditions?</w:t>
            </w:r>
          </w:p>
          <w:p w14:paraId="2185800D" w14:textId="77777777" w:rsidR="00910C05" w:rsidRPr="00910C05" w:rsidRDefault="00910C05" w:rsidP="003A09D8">
            <w:pPr>
              <w:numPr>
                <w:ilvl w:val="0"/>
                <w:numId w:val="29"/>
              </w:numPr>
              <w:spacing w:after="0"/>
              <w:contextualSpacing/>
              <w:rPr>
                <w:rFonts w:eastAsiaTheme="minorEastAsia" w:cs="Calibri"/>
                <w:szCs w:val="24"/>
                <w:lang w:val="en-US" w:eastAsia="sv-SE"/>
              </w:rPr>
            </w:pPr>
            <w:r w:rsidRPr="00910C05">
              <w:rPr>
                <w:rFonts w:eastAsiaTheme="minorEastAsia" w:cs="Calibri"/>
                <w:szCs w:val="24"/>
                <w:lang w:val="en-US" w:eastAsia="sv-SE"/>
              </w:rPr>
              <w:t xml:space="preserve">Related to </w:t>
            </w:r>
            <w:r w:rsidRPr="00910C05">
              <w:rPr>
                <w:rFonts w:eastAsiaTheme="minorEastAsia" w:cs="Calibri"/>
                <w:b/>
                <w:i/>
                <w:szCs w:val="24"/>
                <w:lang w:val="en-US" w:eastAsia="sv-SE"/>
              </w:rPr>
              <w:t>the Design of High Pressure, High Efficiency Turbines</w:t>
            </w:r>
            <w:r w:rsidRPr="00910C05">
              <w:rPr>
                <w:rFonts w:eastAsiaTheme="minorEastAsia" w:cs="Times New Roman"/>
                <w:b/>
                <w:i/>
                <w:szCs w:val="24"/>
                <w:vertAlign w:val="superscript"/>
                <w:lang w:val="en-US" w:eastAsia="sv-SE"/>
              </w:rPr>
              <w:footnoteReference w:id="4"/>
            </w:r>
            <w:r w:rsidRPr="00910C05">
              <w:rPr>
                <w:rFonts w:eastAsiaTheme="minorEastAsia" w:cs="Calibri"/>
                <w:szCs w:val="24"/>
                <w:lang w:val="en-US" w:eastAsia="sv-SE"/>
              </w:rPr>
              <w:t>:</w:t>
            </w:r>
          </w:p>
          <w:p w14:paraId="198E2CDF" w14:textId="77777777" w:rsidR="00910C05" w:rsidRPr="00910C05" w:rsidRDefault="00910C05" w:rsidP="003A09D8">
            <w:pPr>
              <w:numPr>
                <w:ilvl w:val="1"/>
                <w:numId w:val="29"/>
              </w:numPr>
              <w:spacing w:after="0"/>
              <w:contextualSpacing/>
              <w:rPr>
                <w:rFonts w:eastAsiaTheme="minorEastAsia" w:cs="Calibri"/>
                <w:szCs w:val="24"/>
                <w:lang w:val="en-US" w:eastAsia="sv-SE"/>
              </w:rPr>
            </w:pPr>
            <w:r w:rsidRPr="00910C05">
              <w:rPr>
                <w:rFonts w:eastAsiaTheme="minorEastAsia" w:cs="Calibri"/>
                <w:szCs w:val="24"/>
                <w:lang w:val="en-US" w:eastAsia="sv-SE"/>
              </w:rPr>
              <w:t>What impact does purge flow have on the efficiency of a turbine stage?</w:t>
            </w:r>
          </w:p>
          <w:p w14:paraId="7E5C18B0" w14:textId="77777777" w:rsidR="00910C05" w:rsidRPr="00910C05" w:rsidRDefault="00910C05" w:rsidP="003A09D8">
            <w:pPr>
              <w:numPr>
                <w:ilvl w:val="0"/>
                <w:numId w:val="29"/>
              </w:numPr>
              <w:spacing w:after="0"/>
              <w:contextualSpacing/>
              <w:rPr>
                <w:rFonts w:eastAsiaTheme="minorEastAsia" w:cs="Calibri"/>
                <w:szCs w:val="24"/>
                <w:lang w:val="en-US" w:eastAsia="sv-SE"/>
              </w:rPr>
            </w:pPr>
            <w:r w:rsidRPr="00910C05">
              <w:rPr>
                <w:rFonts w:eastAsiaTheme="minorEastAsia" w:cs="Calibri"/>
                <w:szCs w:val="24"/>
                <w:lang w:val="en-US" w:eastAsia="sv-SE"/>
              </w:rPr>
              <w:t xml:space="preserve">Related to </w:t>
            </w:r>
            <w:r w:rsidRPr="00910C05">
              <w:rPr>
                <w:rFonts w:eastAsiaTheme="minorEastAsia" w:cs="Calibri"/>
                <w:b/>
                <w:i/>
                <w:szCs w:val="24"/>
                <w:lang w:val="en-US" w:eastAsia="sv-SE"/>
              </w:rPr>
              <w:t>Underground Thermal Energy Storage in Boreholes</w:t>
            </w:r>
            <w:r w:rsidRPr="00910C05">
              <w:rPr>
                <w:rFonts w:eastAsiaTheme="minorEastAsia" w:cs="Times New Roman"/>
                <w:szCs w:val="24"/>
                <w:vertAlign w:val="superscript"/>
                <w:lang w:val="en-US" w:eastAsia="sv-SE"/>
              </w:rPr>
              <w:footnoteReference w:id="5"/>
            </w:r>
            <w:r w:rsidRPr="00910C05">
              <w:rPr>
                <w:rFonts w:eastAsiaTheme="minorEastAsia" w:cs="Calibri"/>
                <w:szCs w:val="24"/>
                <w:lang w:val="en-US" w:eastAsia="sv-SE"/>
              </w:rPr>
              <w:t>:</w:t>
            </w:r>
          </w:p>
          <w:p w14:paraId="2E2C0230" w14:textId="77777777" w:rsidR="00910C05" w:rsidRPr="00910C05" w:rsidRDefault="00910C05" w:rsidP="003A09D8">
            <w:pPr>
              <w:numPr>
                <w:ilvl w:val="1"/>
                <w:numId w:val="29"/>
              </w:numPr>
              <w:spacing w:after="0"/>
              <w:contextualSpacing/>
              <w:rPr>
                <w:rFonts w:eastAsiaTheme="minorEastAsia" w:cs="Calibri"/>
                <w:szCs w:val="24"/>
                <w:lang w:val="en-US" w:eastAsia="sv-SE"/>
              </w:rPr>
            </w:pPr>
            <w:r w:rsidRPr="00910C05">
              <w:rPr>
                <w:rFonts w:eastAsiaTheme="minorEastAsia" w:cs="Calibri"/>
                <w:szCs w:val="24"/>
                <w:lang w:val="en-US" w:eastAsia="sv-SE"/>
              </w:rPr>
              <w:t>How shall the thermal response of the ground in borehole fields best be evaluated theoretically, irrespective of the definition of the boundary condition at the borehole wall? How can this be incorporated into a general sizing methodology that assesses the influence of design parameters on the calculation of the total bore field length.</w:t>
            </w:r>
          </w:p>
          <w:p w14:paraId="695CB4CA" w14:textId="77777777" w:rsidR="00910C05" w:rsidRPr="00910C05" w:rsidRDefault="00910C05" w:rsidP="003A09D8">
            <w:pPr>
              <w:numPr>
                <w:ilvl w:val="0"/>
                <w:numId w:val="29"/>
              </w:numPr>
              <w:spacing w:after="0"/>
              <w:contextualSpacing/>
              <w:rPr>
                <w:rFonts w:eastAsiaTheme="minorEastAsia" w:cs="Calibri"/>
                <w:szCs w:val="24"/>
                <w:lang w:val="en-US" w:eastAsia="sv-SE"/>
              </w:rPr>
            </w:pPr>
            <w:r w:rsidRPr="00910C05">
              <w:rPr>
                <w:rFonts w:eastAsiaTheme="minorEastAsia" w:cs="Calibri"/>
                <w:szCs w:val="24"/>
                <w:lang w:val="en-US" w:eastAsia="sv-SE"/>
              </w:rPr>
              <w:t xml:space="preserve">Related to </w:t>
            </w:r>
            <w:r w:rsidRPr="00910C05">
              <w:rPr>
                <w:rFonts w:eastAsiaTheme="minorEastAsia" w:cs="Calibri"/>
                <w:b/>
                <w:i/>
                <w:szCs w:val="24"/>
                <w:lang w:val="en-US" w:eastAsia="sv-SE"/>
              </w:rPr>
              <w:t>the Integration of Heat Pumps in Smart Grids</w:t>
            </w:r>
            <w:r w:rsidRPr="00910C05">
              <w:rPr>
                <w:rFonts w:eastAsiaTheme="minorEastAsia" w:cs="Times New Roman"/>
                <w:b/>
                <w:i/>
                <w:szCs w:val="24"/>
                <w:vertAlign w:val="superscript"/>
                <w:lang w:val="en-US" w:eastAsia="sv-SE"/>
              </w:rPr>
              <w:footnoteReference w:id="6"/>
            </w:r>
            <w:r w:rsidRPr="00910C05">
              <w:rPr>
                <w:rFonts w:eastAsiaTheme="minorEastAsia" w:cs="Calibri"/>
                <w:szCs w:val="24"/>
                <w:lang w:val="en-US" w:eastAsia="sv-SE"/>
              </w:rPr>
              <w:t>:</w:t>
            </w:r>
          </w:p>
          <w:p w14:paraId="2490A2EB" w14:textId="77777777" w:rsidR="00910C05" w:rsidRPr="00910C05" w:rsidRDefault="00910C05" w:rsidP="003A09D8">
            <w:pPr>
              <w:numPr>
                <w:ilvl w:val="1"/>
                <w:numId w:val="29"/>
              </w:numPr>
              <w:spacing w:after="0"/>
              <w:contextualSpacing/>
              <w:rPr>
                <w:rFonts w:eastAsiaTheme="minorEastAsia" w:cs="Calibri"/>
                <w:szCs w:val="24"/>
                <w:lang w:val="en-US" w:eastAsia="sv-SE"/>
              </w:rPr>
            </w:pPr>
            <w:r w:rsidRPr="00910C05">
              <w:rPr>
                <w:rFonts w:eastAsiaTheme="minorEastAsia" w:cs="Calibri"/>
                <w:szCs w:val="24"/>
                <w:lang w:val="en-US" w:eastAsia="sv-SE"/>
              </w:rPr>
              <w:lastRenderedPageBreak/>
              <w:t>For facilitating the transition to renewable energy sources, which design parameters enable a successful integration of heat pump systems into a smart grid? In addition, which operational parameters influence the flexibility of heat pump pools?</w:t>
            </w:r>
          </w:p>
          <w:p w14:paraId="5BC6DCAC" w14:textId="77777777" w:rsidR="00910C05" w:rsidRPr="00910C05" w:rsidRDefault="00910C05" w:rsidP="00910C05">
            <w:pPr>
              <w:spacing w:after="0"/>
              <w:ind w:left="1440"/>
              <w:contextualSpacing/>
              <w:rPr>
                <w:rFonts w:eastAsiaTheme="minorEastAsia" w:cs="Calibri"/>
                <w:szCs w:val="24"/>
                <w:lang w:val="en-US" w:eastAsia="sv-SE"/>
              </w:rPr>
            </w:pPr>
          </w:p>
          <w:p w14:paraId="770CA160" w14:textId="77777777" w:rsidR="00910C05" w:rsidRPr="00910C05" w:rsidRDefault="00910C05" w:rsidP="00910C05">
            <w:pPr>
              <w:spacing w:after="0"/>
              <w:rPr>
                <w:rFonts w:cs="Calibri"/>
              </w:rPr>
            </w:pPr>
            <w:r w:rsidRPr="00910C05">
              <w:rPr>
                <w:rFonts w:cs="Calibri"/>
                <w:lang w:val="en-US"/>
              </w:rPr>
              <w:t>These are all examples from recent Doctoral Dissertation, and from all three divisions.</w:t>
            </w:r>
          </w:p>
          <w:p w14:paraId="3A97D97C" w14:textId="77777777" w:rsidR="00910C05" w:rsidRPr="00910C05" w:rsidRDefault="00910C05" w:rsidP="00910C05">
            <w:pPr>
              <w:spacing w:after="0"/>
              <w:rPr>
                <w:rFonts w:asciiTheme="minorHAnsi" w:hAnsiTheme="minorHAnsi"/>
                <w:i/>
                <w:iCs/>
                <w:sz w:val="20"/>
                <w:szCs w:val="20"/>
                <w:lang w:val="en-US"/>
              </w:rPr>
            </w:pPr>
          </w:p>
          <w:p w14:paraId="6E7F3C64" w14:textId="77777777" w:rsidR="00910C05" w:rsidRPr="00910C05" w:rsidRDefault="00910C05" w:rsidP="00910C05">
            <w:pPr>
              <w:spacing w:after="120"/>
              <w:rPr>
                <w:rFonts w:cs="Calibri"/>
                <w:color w:val="000000" w:themeColor="text1"/>
              </w:rPr>
            </w:pPr>
            <w:r w:rsidRPr="00910C05">
              <w:rPr>
                <w:rFonts w:cs="Calibri"/>
                <w:b/>
                <w:bCs/>
              </w:rPr>
              <w:t>c.</w:t>
            </w:r>
            <w:r w:rsidRPr="00910C05">
              <w:rPr>
                <w:rFonts w:cs="Calibri"/>
              </w:rPr>
              <w:t xml:space="preserve"> </w:t>
            </w:r>
            <w:r w:rsidRPr="00910C05">
              <w:rPr>
                <w:rFonts w:cs="Calibri"/>
                <w:i/>
                <w:iCs/>
              </w:rPr>
              <w:t xml:space="preserve">Contributions to the advancement of the state of the art within the </w:t>
            </w:r>
            <w:r w:rsidRPr="00910C05">
              <w:rPr>
                <w:rFonts w:cs="Calibri"/>
                <w:i/>
                <w:iCs/>
                <w:color w:val="000000" w:themeColor="text1"/>
              </w:rPr>
              <w:t xml:space="preserve">research fields of the department </w:t>
            </w:r>
          </w:p>
          <w:p w14:paraId="223CBA12" w14:textId="77777777" w:rsidR="00910C05" w:rsidRPr="00910C05" w:rsidRDefault="00910C05" w:rsidP="00910C05">
            <w:pPr>
              <w:spacing w:after="0"/>
              <w:rPr>
                <w:rFonts w:cs="Calibri"/>
                <w:szCs w:val="24"/>
                <w:lang w:val="en-US"/>
              </w:rPr>
            </w:pPr>
          </w:p>
          <w:p w14:paraId="0EBB1431" w14:textId="77777777" w:rsidR="00910C05" w:rsidRPr="00910C05" w:rsidRDefault="00910C05" w:rsidP="00910C05">
            <w:pPr>
              <w:spacing w:after="0"/>
              <w:rPr>
                <w:rFonts w:cs="Calibri"/>
                <w:szCs w:val="24"/>
                <w:lang w:val="en-US"/>
              </w:rPr>
            </w:pPr>
            <w:r w:rsidRPr="00910C05">
              <w:rPr>
                <w:rFonts w:cs="Calibri"/>
                <w:szCs w:val="24"/>
                <w:lang w:val="en-US"/>
              </w:rPr>
              <w:t>EGI’s contributions can be categorized according to research questions posed in section 2b:</w:t>
            </w:r>
          </w:p>
          <w:p w14:paraId="3A025280" w14:textId="77777777" w:rsidR="00910C05" w:rsidRPr="00910C05" w:rsidRDefault="00910C05" w:rsidP="00910C05">
            <w:pPr>
              <w:spacing w:after="0"/>
              <w:rPr>
                <w:rFonts w:cs="Calibri"/>
                <w:szCs w:val="24"/>
                <w:lang w:val="en-US"/>
              </w:rPr>
            </w:pPr>
          </w:p>
          <w:p w14:paraId="0623C2E8" w14:textId="77777777" w:rsidR="00910C05" w:rsidRPr="00910C05" w:rsidRDefault="00910C05" w:rsidP="00910C05">
            <w:pPr>
              <w:spacing w:after="0"/>
              <w:rPr>
                <w:rFonts w:cs="Calibri"/>
                <w:i/>
                <w:szCs w:val="24"/>
                <w:lang w:val="en-US"/>
              </w:rPr>
            </w:pPr>
            <w:r w:rsidRPr="00910C05">
              <w:rPr>
                <w:rFonts w:cs="Calibri"/>
                <w:i/>
                <w:szCs w:val="24"/>
                <w:lang w:val="en-US"/>
              </w:rPr>
              <w:t>How to speed up the adoption of low emission technologies with policy, innovation and business models?</w:t>
            </w:r>
          </w:p>
          <w:p w14:paraId="24F8FFEC" w14:textId="77777777" w:rsidR="00910C05" w:rsidRPr="00910C05" w:rsidRDefault="00910C05" w:rsidP="00910C05">
            <w:pPr>
              <w:spacing w:after="0"/>
              <w:rPr>
                <w:rFonts w:cs="Calibri"/>
                <w:szCs w:val="24"/>
                <w:lang w:val="en-US"/>
              </w:rPr>
            </w:pPr>
          </w:p>
          <w:p w14:paraId="7F7EB8B4" w14:textId="77777777" w:rsidR="00910C05" w:rsidRPr="00910C05" w:rsidRDefault="00910C05" w:rsidP="003A09D8">
            <w:pPr>
              <w:numPr>
                <w:ilvl w:val="0"/>
                <w:numId w:val="35"/>
              </w:numPr>
              <w:spacing w:after="0"/>
              <w:contextualSpacing/>
              <w:rPr>
                <w:rFonts w:cs="Calibri"/>
                <w:szCs w:val="24"/>
                <w:lang w:val="en-US"/>
              </w:rPr>
            </w:pPr>
            <w:r w:rsidRPr="00910C05">
              <w:rPr>
                <w:rFonts w:cs="Calibri"/>
                <w:szCs w:val="24"/>
                <w:lang w:val="en-US"/>
              </w:rPr>
              <w:t>Production of new experimental data in key components for the enhanced understanding of transonic flow and aeromechanics in turbomachines (steam turbines, gas turbines, jet engines); and for enabling applications in polygeneration (externally fired gas turbines, Stirling engines, membrane distillation, thermal energy storage through phase change materials).</w:t>
            </w:r>
          </w:p>
          <w:p w14:paraId="3B80C588" w14:textId="77777777" w:rsidR="00910C05" w:rsidRPr="00910C05" w:rsidRDefault="00910C05" w:rsidP="003A09D8">
            <w:pPr>
              <w:numPr>
                <w:ilvl w:val="0"/>
                <w:numId w:val="35"/>
              </w:numPr>
              <w:spacing w:after="0"/>
              <w:contextualSpacing/>
              <w:rPr>
                <w:rFonts w:cs="Calibri"/>
                <w:szCs w:val="24"/>
                <w:lang w:val="en-US"/>
              </w:rPr>
            </w:pPr>
            <w:r w:rsidRPr="00910C05">
              <w:rPr>
                <w:rFonts w:cs="Calibri"/>
                <w:szCs w:val="24"/>
                <w:lang w:val="en-US"/>
              </w:rPr>
              <w:t>Experimental development of novel refrigerants, including CO2 and hydrocarbons ; experimental evaluation of magnetic refrigeration; and development of systems with low charge of refrigerant.</w:t>
            </w:r>
          </w:p>
          <w:p w14:paraId="5626BADC" w14:textId="77777777" w:rsidR="00910C05" w:rsidRPr="00910C05" w:rsidRDefault="00910C05" w:rsidP="003A09D8">
            <w:pPr>
              <w:numPr>
                <w:ilvl w:val="0"/>
                <w:numId w:val="35"/>
              </w:numPr>
              <w:spacing w:after="0"/>
              <w:contextualSpacing/>
              <w:rPr>
                <w:rFonts w:eastAsiaTheme="minorEastAsia" w:cs="Calibri"/>
                <w:szCs w:val="24"/>
                <w:lang w:val="en-US"/>
              </w:rPr>
            </w:pPr>
            <w:r w:rsidRPr="00910C05">
              <w:rPr>
                <w:rFonts w:cs="Calibri"/>
                <w:szCs w:val="24"/>
                <w:lang w:val="en-US"/>
              </w:rPr>
              <w:t xml:space="preserve">Experimental determination of thermophysical properties of secondary fluids; experimental measurements of heat transfer characteristics of nanofluids and heat transfer in microchannels. </w:t>
            </w:r>
          </w:p>
          <w:p w14:paraId="26DB7C90" w14:textId="77777777" w:rsidR="00910C05" w:rsidRPr="00910C05" w:rsidRDefault="00910C05" w:rsidP="003A09D8">
            <w:pPr>
              <w:numPr>
                <w:ilvl w:val="0"/>
                <w:numId w:val="35"/>
              </w:numPr>
              <w:spacing w:after="0"/>
              <w:contextualSpacing/>
              <w:rPr>
                <w:rFonts w:cs="Calibri"/>
                <w:szCs w:val="24"/>
                <w:lang w:val="en-US"/>
              </w:rPr>
            </w:pPr>
            <w:r w:rsidRPr="00910C05">
              <w:rPr>
                <w:rFonts w:cs="Calibri"/>
                <w:szCs w:val="24"/>
                <w:lang w:val="en-US"/>
              </w:rPr>
              <w:t>Experimental development of novel materials and component configurations in advanced solid oxide fuel cells.</w:t>
            </w:r>
          </w:p>
          <w:p w14:paraId="4D4676B4" w14:textId="77777777" w:rsidR="00910C05" w:rsidRPr="00910C05" w:rsidRDefault="00910C05" w:rsidP="003A09D8">
            <w:pPr>
              <w:numPr>
                <w:ilvl w:val="0"/>
                <w:numId w:val="35"/>
              </w:numPr>
              <w:spacing w:after="0"/>
              <w:rPr>
                <w:rFonts w:cs="Calibri"/>
                <w:szCs w:val="24"/>
                <w:lang w:val="en-US"/>
              </w:rPr>
            </w:pPr>
            <w:r w:rsidRPr="00910C05">
              <w:rPr>
                <w:rFonts w:cs="Calibri"/>
                <w:szCs w:val="24"/>
                <w:lang w:val="en-US"/>
              </w:rPr>
              <w:t>Development and promotion of open-source modeling tools for investigating electrification scenarios in developing countries (including universal electricity access) and industrialized nations.</w:t>
            </w:r>
          </w:p>
          <w:p w14:paraId="2344C1CA" w14:textId="77777777" w:rsidR="00910C05" w:rsidRPr="00910C05" w:rsidRDefault="00910C05" w:rsidP="003A09D8">
            <w:pPr>
              <w:numPr>
                <w:ilvl w:val="0"/>
                <w:numId w:val="35"/>
              </w:numPr>
              <w:spacing w:after="0"/>
              <w:contextualSpacing/>
              <w:rPr>
                <w:rFonts w:cs="Calibri"/>
                <w:szCs w:val="24"/>
                <w:lang w:val="en-US"/>
              </w:rPr>
            </w:pPr>
            <w:r w:rsidRPr="00910C05">
              <w:rPr>
                <w:rFonts w:cs="Calibri"/>
                <w:szCs w:val="24"/>
                <w:lang w:val="en-US"/>
              </w:rPr>
              <w:t>Development of modeled-based analysis tools for promoting policy measures leading to decarbonization in the EU, as related to the Strategic Energy Technology (SET) Plan.</w:t>
            </w:r>
          </w:p>
          <w:p w14:paraId="1FCB3987" w14:textId="77777777" w:rsidR="00910C05" w:rsidRPr="00910C05" w:rsidRDefault="00910C05" w:rsidP="00910C05">
            <w:pPr>
              <w:spacing w:after="0"/>
              <w:rPr>
                <w:rFonts w:cs="Calibri"/>
                <w:szCs w:val="24"/>
                <w:lang w:val="en-US"/>
              </w:rPr>
            </w:pPr>
          </w:p>
          <w:p w14:paraId="526AAD09" w14:textId="77777777" w:rsidR="00910C05" w:rsidRPr="00910C05" w:rsidRDefault="00910C05" w:rsidP="00910C05">
            <w:pPr>
              <w:spacing w:after="0"/>
              <w:rPr>
                <w:rFonts w:cs="Calibri"/>
                <w:i/>
                <w:szCs w:val="24"/>
                <w:lang w:val="en-US"/>
              </w:rPr>
            </w:pPr>
            <w:r w:rsidRPr="00910C05">
              <w:rPr>
                <w:rFonts w:cs="Calibri"/>
                <w:i/>
                <w:szCs w:val="24"/>
                <w:lang w:val="en-US"/>
              </w:rPr>
              <w:t>How to integrate large shares of renewable energy in supply?</w:t>
            </w:r>
          </w:p>
          <w:p w14:paraId="617D0690" w14:textId="77777777" w:rsidR="00910C05" w:rsidRPr="00910C05" w:rsidRDefault="00910C05" w:rsidP="00910C05">
            <w:pPr>
              <w:spacing w:after="0"/>
              <w:rPr>
                <w:rFonts w:cs="Calibri"/>
                <w:szCs w:val="24"/>
                <w:lang w:val="en-US"/>
              </w:rPr>
            </w:pPr>
          </w:p>
          <w:p w14:paraId="1471A96B" w14:textId="77777777" w:rsidR="00910C05" w:rsidRPr="00910C05" w:rsidRDefault="00910C05" w:rsidP="003A09D8">
            <w:pPr>
              <w:numPr>
                <w:ilvl w:val="0"/>
                <w:numId w:val="36"/>
              </w:numPr>
              <w:spacing w:after="0"/>
              <w:contextualSpacing/>
              <w:rPr>
                <w:rFonts w:cs="Calibri"/>
                <w:szCs w:val="24"/>
                <w:lang w:val="en-US"/>
              </w:rPr>
            </w:pPr>
            <w:r w:rsidRPr="00910C05">
              <w:rPr>
                <w:rFonts w:cs="Calibri"/>
                <w:szCs w:val="24"/>
                <w:lang w:val="en-US"/>
              </w:rPr>
              <w:t>Utilization of heat pumps in combination with geothermal energy, solar energy, and waste heat for achieving enhanced energy systems.</w:t>
            </w:r>
          </w:p>
          <w:p w14:paraId="677D1EF2" w14:textId="77777777" w:rsidR="00910C05" w:rsidRPr="00910C05" w:rsidRDefault="00910C05" w:rsidP="003A09D8">
            <w:pPr>
              <w:numPr>
                <w:ilvl w:val="0"/>
                <w:numId w:val="36"/>
              </w:numPr>
              <w:spacing w:after="0"/>
              <w:contextualSpacing/>
              <w:rPr>
                <w:rFonts w:eastAsiaTheme="minorEastAsia" w:cs="Calibri"/>
                <w:szCs w:val="24"/>
                <w:lang w:val="en-US"/>
              </w:rPr>
            </w:pPr>
            <w:r w:rsidRPr="00910C05">
              <w:rPr>
                <w:rFonts w:cs="Calibri"/>
                <w:szCs w:val="24"/>
                <w:lang w:val="en-US"/>
              </w:rPr>
              <w:t>Design, development, construction, and testing of an innovative testing facility for concentrated solar power, based on Fresnel lens technology; development of novel CSP system configurations including gas turbines for increased efficiency and lower cost of electricity.</w:t>
            </w:r>
          </w:p>
          <w:p w14:paraId="46192924" w14:textId="77777777" w:rsidR="00910C05" w:rsidRPr="00910C05" w:rsidRDefault="00910C05" w:rsidP="003A09D8">
            <w:pPr>
              <w:numPr>
                <w:ilvl w:val="0"/>
                <w:numId w:val="36"/>
              </w:numPr>
              <w:spacing w:after="0"/>
              <w:contextualSpacing/>
              <w:rPr>
                <w:rFonts w:cs="Calibri"/>
                <w:szCs w:val="24"/>
                <w:lang w:val="en-US"/>
              </w:rPr>
            </w:pPr>
            <w:r w:rsidRPr="00910C05">
              <w:rPr>
                <w:rFonts w:cs="Calibri"/>
                <w:szCs w:val="24"/>
                <w:lang w:val="en-US"/>
              </w:rPr>
              <w:t>Development of feasibility studies for examining innovative system combinations involving thermochemical and biochemical conversion of 2</w:t>
            </w:r>
            <w:r w:rsidRPr="00910C05">
              <w:rPr>
                <w:rFonts w:cs="Calibri"/>
                <w:szCs w:val="24"/>
                <w:vertAlign w:val="superscript"/>
                <w:lang w:val="en-US"/>
              </w:rPr>
              <w:t>nd</w:t>
            </w:r>
            <w:r w:rsidRPr="00910C05">
              <w:rPr>
                <w:rFonts w:cs="Calibri"/>
                <w:szCs w:val="24"/>
                <w:lang w:val="en-US"/>
              </w:rPr>
              <w:t>-</w:t>
            </w:r>
            <w:r w:rsidRPr="00910C05">
              <w:rPr>
                <w:rFonts w:cs="Calibri"/>
                <w:szCs w:val="24"/>
                <w:lang w:val="en-US"/>
              </w:rPr>
              <w:lastRenderedPageBreak/>
              <w:t>generation feedstocks (woody biomass, agricultural residues), with integration of renewables-based electrolysis and co-electrolysis.</w:t>
            </w:r>
          </w:p>
          <w:p w14:paraId="4E4C3440" w14:textId="77777777" w:rsidR="00910C05" w:rsidRPr="00910C05" w:rsidRDefault="00910C05" w:rsidP="003A09D8">
            <w:pPr>
              <w:numPr>
                <w:ilvl w:val="0"/>
                <w:numId w:val="36"/>
              </w:numPr>
              <w:spacing w:after="0"/>
              <w:contextualSpacing/>
              <w:rPr>
                <w:rFonts w:cs="Calibri"/>
                <w:szCs w:val="24"/>
                <w:lang w:val="en-US"/>
              </w:rPr>
            </w:pPr>
            <w:r w:rsidRPr="00910C05">
              <w:rPr>
                <w:rFonts w:cs="Calibri"/>
                <w:szCs w:val="24"/>
                <w:lang w:val="en-US"/>
              </w:rPr>
              <w:t>Experimental determination of component performance for biomass-fired combustors (non-catalytic, catalytic), externally fired heat exchangers, and Stirling engines.</w:t>
            </w:r>
          </w:p>
          <w:p w14:paraId="5C7D63D9" w14:textId="77777777" w:rsidR="00910C05" w:rsidRPr="00910C05" w:rsidRDefault="00910C05" w:rsidP="003A09D8">
            <w:pPr>
              <w:numPr>
                <w:ilvl w:val="0"/>
                <w:numId w:val="36"/>
              </w:numPr>
              <w:spacing w:after="0"/>
              <w:rPr>
                <w:rFonts w:cs="Calibri"/>
                <w:szCs w:val="24"/>
                <w:lang w:val="en-US"/>
              </w:rPr>
            </w:pPr>
            <w:r w:rsidRPr="00910C05">
              <w:rPr>
                <w:rFonts w:cs="Calibri"/>
                <w:szCs w:val="24"/>
                <w:lang w:val="en-US"/>
              </w:rPr>
              <w:t>Development of detailed GIS-based mapping to explore scenarios for renewable energy in Africa and other locations.</w:t>
            </w:r>
          </w:p>
          <w:p w14:paraId="516C6B8D" w14:textId="77777777" w:rsidR="00910C05" w:rsidRPr="00910C05" w:rsidRDefault="00910C05" w:rsidP="00910C05">
            <w:pPr>
              <w:spacing w:after="0"/>
              <w:rPr>
                <w:rFonts w:cs="Calibri"/>
                <w:szCs w:val="24"/>
                <w:lang w:val="en-US"/>
              </w:rPr>
            </w:pPr>
          </w:p>
          <w:p w14:paraId="4766D365" w14:textId="77777777" w:rsidR="00910C05" w:rsidRPr="00910C05" w:rsidRDefault="00910C05" w:rsidP="00910C05">
            <w:pPr>
              <w:spacing w:after="0"/>
              <w:rPr>
                <w:rFonts w:cs="Calibri"/>
                <w:i/>
                <w:szCs w:val="24"/>
                <w:lang w:val="en-US"/>
              </w:rPr>
            </w:pPr>
            <w:r w:rsidRPr="00910C05">
              <w:rPr>
                <w:rFonts w:cs="Calibri"/>
                <w:i/>
                <w:szCs w:val="24"/>
                <w:lang w:val="en-US"/>
              </w:rPr>
              <w:t>How energy systems affect, and are affected by other sectors and topics? (e.g., physical connection climate, land, water; across scales – households, cities, regions, nations; circular economy and inequalities).</w:t>
            </w:r>
          </w:p>
          <w:p w14:paraId="4EC894FE" w14:textId="77777777" w:rsidR="00910C05" w:rsidRPr="00910C05" w:rsidRDefault="00910C05" w:rsidP="00910C05">
            <w:pPr>
              <w:spacing w:after="0"/>
              <w:rPr>
                <w:rFonts w:cs="Calibri"/>
                <w:szCs w:val="24"/>
                <w:lang w:val="en-US"/>
              </w:rPr>
            </w:pPr>
          </w:p>
          <w:p w14:paraId="0008C32C" w14:textId="77777777" w:rsidR="00910C05" w:rsidRPr="00910C05" w:rsidRDefault="00910C05" w:rsidP="003A09D8">
            <w:pPr>
              <w:numPr>
                <w:ilvl w:val="0"/>
                <w:numId w:val="37"/>
              </w:numPr>
              <w:spacing w:after="0"/>
              <w:contextualSpacing/>
              <w:rPr>
                <w:rFonts w:cs="Calibri"/>
                <w:szCs w:val="24"/>
                <w:lang w:val="en-US"/>
              </w:rPr>
            </w:pPr>
            <w:r w:rsidRPr="00910C05">
              <w:rPr>
                <w:rFonts w:cs="Calibri"/>
                <w:szCs w:val="24"/>
                <w:lang w:val="en-US"/>
              </w:rPr>
              <w:t>Development of new approaches in agriculture and agricultural industries, including low-energy greenhouses, polygeneration in palm oil production, and biorefining in bioethanol production. These concepts lead to increases in renewables-based energy efficiency and enable delivery of improved products and services.</w:t>
            </w:r>
          </w:p>
          <w:p w14:paraId="6B341BDD" w14:textId="77777777" w:rsidR="00910C05" w:rsidRPr="00910C05" w:rsidRDefault="00910C05" w:rsidP="003A09D8">
            <w:pPr>
              <w:numPr>
                <w:ilvl w:val="0"/>
                <w:numId w:val="37"/>
              </w:numPr>
              <w:spacing w:after="0"/>
              <w:contextualSpacing/>
              <w:rPr>
                <w:rFonts w:cs="Calibri"/>
                <w:szCs w:val="24"/>
                <w:lang w:val="en-US"/>
              </w:rPr>
            </w:pPr>
            <w:r w:rsidRPr="00910C05">
              <w:rPr>
                <w:rFonts w:cs="Calibri"/>
                <w:szCs w:val="24"/>
                <w:lang w:val="en-US"/>
              </w:rPr>
              <w:t>Assessment of innovative energy systems with accompanying energy policy studies in rural areas of developing countries (Nepal, Bangladesh, Bolivia,…).</w:t>
            </w:r>
          </w:p>
          <w:p w14:paraId="491DE5EC" w14:textId="77777777" w:rsidR="00910C05" w:rsidRPr="00910C05" w:rsidRDefault="00910C05" w:rsidP="003A09D8">
            <w:pPr>
              <w:numPr>
                <w:ilvl w:val="0"/>
                <w:numId w:val="37"/>
              </w:numPr>
              <w:spacing w:after="0"/>
              <w:contextualSpacing/>
              <w:rPr>
                <w:rFonts w:cs="Calibri"/>
                <w:szCs w:val="24"/>
                <w:lang w:val="en-US"/>
              </w:rPr>
            </w:pPr>
            <w:r w:rsidRPr="00910C05">
              <w:rPr>
                <w:rFonts w:cs="Calibri"/>
                <w:szCs w:val="24"/>
                <w:lang w:val="en-US"/>
              </w:rPr>
              <w:t>Development and evaluation of new energy efficient measures in the Swedish steel industry, and for utilizing district heating to drive thermally driven water purification in industrial wastewater treatment.</w:t>
            </w:r>
          </w:p>
          <w:p w14:paraId="1B0A60EF" w14:textId="77777777" w:rsidR="00910C05" w:rsidRPr="00910C05" w:rsidRDefault="00910C05" w:rsidP="003A09D8">
            <w:pPr>
              <w:numPr>
                <w:ilvl w:val="0"/>
                <w:numId w:val="37"/>
              </w:numPr>
              <w:spacing w:after="0"/>
              <w:contextualSpacing/>
              <w:rPr>
                <w:rFonts w:cs="Calibri"/>
                <w:szCs w:val="24"/>
                <w:lang w:val="en-US"/>
              </w:rPr>
            </w:pPr>
            <w:r w:rsidRPr="00910C05">
              <w:rPr>
                <w:rFonts w:cs="Calibri"/>
                <w:szCs w:val="24"/>
                <w:lang w:val="en-US"/>
              </w:rPr>
              <w:t>Experimental data at laboratory scale for high temperature, high pressure hydrocarbon reactions for increased understanding of deep-earth methane formation and subsequent surface methane emissions.</w:t>
            </w:r>
          </w:p>
          <w:p w14:paraId="78356E43" w14:textId="77777777" w:rsidR="00910C05" w:rsidRPr="00910C05" w:rsidRDefault="00910C05" w:rsidP="003A09D8">
            <w:pPr>
              <w:numPr>
                <w:ilvl w:val="0"/>
                <w:numId w:val="37"/>
              </w:numPr>
              <w:spacing w:after="0"/>
              <w:rPr>
                <w:rFonts w:cs="Calibri"/>
                <w:szCs w:val="24"/>
                <w:lang w:val="en-US"/>
              </w:rPr>
            </w:pPr>
            <w:r w:rsidRPr="00910C05">
              <w:rPr>
                <w:rFonts w:cs="Calibri"/>
                <w:szCs w:val="24"/>
                <w:lang w:val="en-US"/>
              </w:rPr>
              <w:t>Development of open-source energy modeling tools integrating water, energy, and land use planning for determining least-cost scenarios in a given region.</w:t>
            </w:r>
          </w:p>
          <w:p w14:paraId="34D3FE72" w14:textId="77777777" w:rsidR="00910C05" w:rsidRPr="00910C05" w:rsidRDefault="00910C05" w:rsidP="00910C05">
            <w:pPr>
              <w:spacing w:after="0"/>
              <w:rPr>
                <w:rFonts w:cs="Calibri"/>
                <w:szCs w:val="24"/>
                <w:lang w:val="en-US"/>
              </w:rPr>
            </w:pPr>
          </w:p>
          <w:p w14:paraId="43D529DD" w14:textId="77777777" w:rsidR="00910C05" w:rsidRPr="00910C05" w:rsidRDefault="00910C05" w:rsidP="00910C05">
            <w:pPr>
              <w:spacing w:after="0"/>
              <w:rPr>
                <w:rFonts w:cs="Calibri"/>
                <w:szCs w:val="24"/>
                <w:lang w:val="en-US"/>
              </w:rPr>
            </w:pPr>
          </w:p>
          <w:p w14:paraId="63B3E3F1" w14:textId="77777777" w:rsidR="00910C05" w:rsidRPr="00910C05" w:rsidRDefault="00910C05" w:rsidP="00910C05">
            <w:pPr>
              <w:spacing w:after="0"/>
              <w:rPr>
                <w:rFonts w:cs="Calibri"/>
                <w:i/>
                <w:iCs/>
                <w:szCs w:val="24"/>
                <w:lang w:val="en-US"/>
              </w:rPr>
            </w:pPr>
            <w:r w:rsidRPr="00910C05">
              <w:rPr>
                <w:rFonts w:cs="Calibri"/>
                <w:i/>
                <w:iCs/>
                <w:szCs w:val="24"/>
                <w:lang w:val="en-US"/>
              </w:rPr>
              <w:t>How will artificial intelligence and cyber security affect future energy systems, and potentially aid the transformation towards sustainability?</w:t>
            </w:r>
          </w:p>
          <w:p w14:paraId="073C7A88" w14:textId="77777777" w:rsidR="00910C05" w:rsidRPr="00910C05" w:rsidRDefault="00910C05" w:rsidP="00910C05">
            <w:pPr>
              <w:spacing w:after="0"/>
              <w:rPr>
                <w:rFonts w:cs="Calibri"/>
                <w:szCs w:val="24"/>
                <w:lang w:val="en-US"/>
              </w:rPr>
            </w:pPr>
          </w:p>
          <w:p w14:paraId="36356F0D" w14:textId="77777777" w:rsidR="00910C05" w:rsidRPr="00910C05" w:rsidRDefault="00910C05" w:rsidP="00910C05">
            <w:pPr>
              <w:spacing w:after="0"/>
              <w:rPr>
                <w:rFonts w:cs="Calibri"/>
                <w:szCs w:val="24"/>
                <w:lang w:val="en-US"/>
              </w:rPr>
            </w:pPr>
            <w:r w:rsidRPr="00910C05">
              <w:rPr>
                <w:rFonts w:cs="Calibri"/>
                <w:szCs w:val="24"/>
                <w:lang w:val="en-US"/>
              </w:rPr>
              <w:t>This research question has been identified as a crucial one for future activities, and up until now has not been investigated at EGI.</w:t>
            </w:r>
          </w:p>
          <w:p w14:paraId="3AF20FAD" w14:textId="77777777" w:rsidR="00910C05" w:rsidRPr="00910C05" w:rsidRDefault="00910C05" w:rsidP="00910C05">
            <w:pPr>
              <w:spacing w:after="0"/>
              <w:rPr>
                <w:rFonts w:cs="Calibri"/>
                <w:szCs w:val="24"/>
                <w:lang w:val="en-US"/>
              </w:rPr>
            </w:pPr>
          </w:p>
          <w:p w14:paraId="73504466" w14:textId="77777777" w:rsidR="00910C05" w:rsidRPr="00910C05" w:rsidRDefault="00910C05" w:rsidP="00910C05">
            <w:pPr>
              <w:spacing w:after="0"/>
              <w:rPr>
                <w:rFonts w:cs="Calibri"/>
                <w:i/>
                <w:iCs/>
                <w:szCs w:val="24"/>
                <w:lang w:val="en-US"/>
              </w:rPr>
            </w:pPr>
            <w:r w:rsidRPr="00910C05">
              <w:rPr>
                <w:rFonts w:cs="Calibri"/>
                <w:i/>
                <w:iCs/>
                <w:szCs w:val="24"/>
                <w:lang w:val="en-US"/>
              </w:rPr>
              <w:t>How to use models with a high spatial and temporal resolution for understanding energy systems?</w:t>
            </w:r>
          </w:p>
          <w:p w14:paraId="695CF41D" w14:textId="77777777" w:rsidR="00910C05" w:rsidRPr="00910C05" w:rsidRDefault="00910C05" w:rsidP="00910C05">
            <w:pPr>
              <w:spacing w:after="0"/>
              <w:rPr>
                <w:rFonts w:cs="Calibri"/>
                <w:szCs w:val="24"/>
                <w:lang w:val="en-US"/>
              </w:rPr>
            </w:pPr>
          </w:p>
          <w:p w14:paraId="2E0DEE81" w14:textId="77777777" w:rsidR="00910C05" w:rsidRPr="00910C05" w:rsidRDefault="00910C05" w:rsidP="003A09D8">
            <w:pPr>
              <w:numPr>
                <w:ilvl w:val="0"/>
                <w:numId w:val="38"/>
              </w:numPr>
              <w:spacing w:after="0"/>
              <w:contextualSpacing/>
              <w:rPr>
                <w:rFonts w:cs="Calibri"/>
                <w:szCs w:val="24"/>
                <w:lang w:val="en-US"/>
              </w:rPr>
            </w:pPr>
            <w:r w:rsidRPr="00910C05">
              <w:rPr>
                <w:rFonts w:cs="Calibri"/>
                <w:szCs w:val="24"/>
                <w:lang w:val="en-US"/>
              </w:rPr>
              <w:t>Development of advanced aeromechanical models for investigating transonic flows in turbines.</w:t>
            </w:r>
          </w:p>
          <w:p w14:paraId="678388E7" w14:textId="77777777" w:rsidR="00910C05" w:rsidRPr="00910C05" w:rsidRDefault="00910C05" w:rsidP="003A09D8">
            <w:pPr>
              <w:numPr>
                <w:ilvl w:val="0"/>
                <w:numId w:val="38"/>
              </w:numPr>
              <w:spacing w:after="0"/>
              <w:contextualSpacing/>
              <w:rPr>
                <w:rFonts w:cs="Calibri"/>
                <w:szCs w:val="24"/>
                <w:lang w:val="en-US"/>
              </w:rPr>
            </w:pPr>
            <w:r w:rsidRPr="00910C05">
              <w:rPr>
                <w:rFonts w:cs="Calibri"/>
                <w:szCs w:val="24"/>
                <w:lang w:val="en-US"/>
              </w:rPr>
              <w:t>Development of long-term energy models for investigating generational shifts in regional and national energy systems.</w:t>
            </w:r>
          </w:p>
          <w:p w14:paraId="3C27EF0B" w14:textId="77777777" w:rsidR="00910C05" w:rsidRPr="00910C05" w:rsidRDefault="00910C05" w:rsidP="003A09D8">
            <w:pPr>
              <w:numPr>
                <w:ilvl w:val="0"/>
                <w:numId w:val="38"/>
              </w:numPr>
              <w:spacing w:after="0"/>
              <w:contextualSpacing/>
              <w:rPr>
                <w:rFonts w:cs="Calibri"/>
                <w:szCs w:val="24"/>
                <w:lang w:val="en-US"/>
              </w:rPr>
            </w:pPr>
            <w:r w:rsidRPr="00910C05">
              <w:rPr>
                <w:rFonts w:cs="Calibri"/>
                <w:szCs w:val="24"/>
                <w:lang w:val="en-US"/>
              </w:rPr>
              <w:t>Development of open-source systems analysis tools combined with geospatial information systems for forecasting future energy scenarios in Africa and other regions.</w:t>
            </w:r>
          </w:p>
          <w:p w14:paraId="630A4CC4" w14:textId="77777777" w:rsidR="00910C05" w:rsidRPr="00910C05" w:rsidRDefault="00910C05" w:rsidP="003A09D8">
            <w:pPr>
              <w:numPr>
                <w:ilvl w:val="0"/>
                <w:numId w:val="38"/>
              </w:numPr>
              <w:spacing w:after="0"/>
              <w:contextualSpacing/>
              <w:rPr>
                <w:rFonts w:cs="Calibri"/>
                <w:szCs w:val="24"/>
                <w:lang w:val="en-US"/>
              </w:rPr>
            </w:pPr>
            <w:r w:rsidRPr="00910C05">
              <w:rPr>
                <w:rFonts w:cs="Calibri"/>
                <w:szCs w:val="24"/>
                <w:lang w:val="en-US"/>
              </w:rPr>
              <w:t>Development of GIS models for the optimal placement of energy technologies as for examples heat pumps in China</w:t>
            </w:r>
          </w:p>
          <w:p w14:paraId="1D2FD7E4" w14:textId="77777777" w:rsidR="00910C05" w:rsidRPr="00910C05" w:rsidRDefault="00910C05" w:rsidP="003A09D8">
            <w:pPr>
              <w:numPr>
                <w:ilvl w:val="0"/>
                <w:numId w:val="38"/>
              </w:numPr>
              <w:spacing w:after="0"/>
              <w:contextualSpacing/>
              <w:rPr>
                <w:rFonts w:cs="Calibri"/>
                <w:szCs w:val="24"/>
                <w:lang w:val="en-US"/>
              </w:rPr>
            </w:pPr>
            <w:r w:rsidRPr="00910C05">
              <w:rPr>
                <w:rFonts w:cs="Calibri"/>
                <w:szCs w:val="24"/>
                <w:lang w:val="en-US"/>
              </w:rPr>
              <w:lastRenderedPageBreak/>
              <w:t>Development of new simulation and optimization tools for decentralized energy systems, and for integrating CSP in existing power grids.</w:t>
            </w:r>
          </w:p>
          <w:p w14:paraId="4F7A13C1" w14:textId="77777777" w:rsidR="00910C05" w:rsidRPr="00910C05" w:rsidRDefault="00910C05" w:rsidP="00910C05">
            <w:pPr>
              <w:spacing w:after="0"/>
              <w:rPr>
                <w:rFonts w:cs="Calibri"/>
                <w:szCs w:val="24"/>
                <w:lang w:val="en-US"/>
              </w:rPr>
            </w:pPr>
          </w:p>
          <w:p w14:paraId="1954A95C" w14:textId="77777777" w:rsidR="00910C05" w:rsidRPr="00910C05" w:rsidRDefault="00910C05" w:rsidP="00910C05">
            <w:pPr>
              <w:spacing w:after="120"/>
              <w:rPr>
                <w:rFonts w:cs="Calibri"/>
                <w:w w:val="105"/>
                <w:szCs w:val="24"/>
              </w:rPr>
            </w:pPr>
            <w:r w:rsidRPr="00910C05">
              <w:rPr>
                <w:rFonts w:cs="Calibri"/>
                <w:b/>
                <w:bCs/>
              </w:rPr>
              <w:t>d.</w:t>
            </w:r>
            <w:r w:rsidRPr="00910C05">
              <w:rPr>
                <w:rFonts w:cs="Calibri"/>
              </w:rPr>
              <w:t xml:space="preserve"> </w:t>
            </w:r>
            <w:r w:rsidRPr="00910C05">
              <w:rPr>
                <w:rFonts w:cs="Calibri"/>
                <w:i/>
                <w:iCs/>
                <w:w w:val="105"/>
              </w:rPr>
              <w:t>Quality and quantity of contributions</w:t>
            </w:r>
            <w:r w:rsidRPr="00910C05">
              <w:rPr>
                <w:rFonts w:cs="Calibri"/>
                <w:i/>
                <w:iCs/>
                <w:spacing w:val="-29"/>
                <w:w w:val="105"/>
              </w:rPr>
              <w:t xml:space="preserve"> </w:t>
            </w:r>
            <w:r w:rsidRPr="00910C05">
              <w:rPr>
                <w:rFonts w:cs="Calibri"/>
                <w:i/>
                <w:iCs/>
                <w:w w:val="105"/>
              </w:rPr>
              <w:t>to</w:t>
            </w:r>
            <w:r w:rsidRPr="00910C05">
              <w:rPr>
                <w:rFonts w:cs="Calibri"/>
                <w:i/>
                <w:iCs/>
                <w:spacing w:val="-18"/>
                <w:w w:val="105"/>
              </w:rPr>
              <w:t xml:space="preserve"> </w:t>
            </w:r>
            <w:r w:rsidRPr="00910C05">
              <w:rPr>
                <w:rFonts w:cs="Calibri"/>
                <w:i/>
                <w:iCs/>
                <w:w w:val="105"/>
              </w:rPr>
              <w:t>the</w:t>
            </w:r>
            <w:r w:rsidRPr="00910C05">
              <w:rPr>
                <w:rFonts w:cs="Calibri"/>
                <w:i/>
                <w:iCs/>
                <w:spacing w:val="-18"/>
                <w:w w:val="105"/>
              </w:rPr>
              <w:t xml:space="preserve"> </w:t>
            </w:r>
            <w:r w:rsidRPr="00910C05">
              <w:rPr>
                <w:rFonts w:cs="Calibri"/>
                <w:i/>
                <w:iCs/>
                <w:w w:val="105"/>
              </w:rPr>
              <w:t>body</w:t>
            </w:r>
            <w:r w:rsidRPr="00910C05">
              <w:rPr>
                <w:rFonts w:cs="Calibri"/>
                <w:i/>
                <w:iCs/>
                <w:spacing w:val="-18"/>
                <w:w w:val="105"/>
              </w:rPr>
              <w:t xml:space="preserve"> </w:t>
            </w:r>
            <w:r w:rsidRPr="00910C05">
              <w:rPr>
                <w:rFonts w:cs="Calibri"/>
                <w:i/>
                <w:iCs/>
                <w:w w:val="105"/>
              </w:rPr>
              <w:t>of</w:t>
            </w:r>
            <w:r w:rsidRPr="00910C05">
              <w:rPr>
                <w:rFonts w:cs="Calibri"/>
                <w:i/>
                <w:iCs/>
                <w:spacing w:val="-18"/>
                <w:w w:val="105"/>
              </w:rPr>
              <w:t xml:space="preserve"> </w:t>
            </w:r>
            <w:r w:rsidRPr="00910C05">
              <w:rPr>
                <w:rFonts w:cs="Calibri"/>
                <w:i/>
                <w:iCs/>
                <w:w w:val="105"/>
              </w:rPr>
              <w:t>scientific</w:t>
            </w:r>
            <w:r w:rsidRPr="00910C05">
              <w:rPr>
                <w:rFonts w:cs="Calibri"/>
                <w:i/>
                <w:iCs/>
                <w:spacing w:val="-18"/>
                <w:w w:val="105"/>
              </w:rPr>
              <w:t xml:space="preserve"> </w:t>
            </w:r>
            <w:r w:rsidRPr="00910C05">
              <w:rPr>
                <w:rFonts w:cs="Calibri"/>
                <w:i/>
                <w:iCs/>
                <w:w w:val="105"/>
              </w:rPr>
              <w:t>knowledge</w:t>
            </w:r>
            <w:r w:rsidRPr="00910C05">
              <w:rPr>
                <w:rFonts w:cs="Calibri"/>
                <w:w w:val="105"/>
              </w:rPr>
              <w:t xml:space="preserve"> </w:t>
            </w:r>
          </w:p>
          <w:p w14:paraId="5FF1E485" w14:textId="77777777" w:rsidR="00910C05" w:rsidRPr="00910C05" w:rsidRDefault="00910C05" w:rsidP="00910C05">
            <w:pPr>
              <w:spacing w:after="0"/>
              <w:rPr>
                <w:rFonts w:cs="Calibri"/>
                <w:b/>
                <w:w w:val="105"/>
                <w:szCs w:val="24"/>
              </w:rPr>
            </w:pPr>
          </w:p>
          <w:p w14:paraId="5DD8A1B3" w14:textId="77777777" w:rsidR="00910C05" w:rsidRPr="00910C05" w:rsidRDefault="00910C05" w:rsidP="00910C05">
            <w:pPr>
              <w:spacing w:after="0"/>
              <w:rPr>
                <w:rFonts w:cs="Calibri"/>
                <w:w w:val="105"/>
                <w:szCs w:val="24"/>
              </w:rPr>
            </w:pPr>
            <w:r w:rsidRPr="00910C05">
              <w:rPr>
                <w:rFonts w:cs="Calibri"/>
                <w:w w:val="105"/>
                <w:szCs w:val="24"/>
              </w:rPr>
              <w:t xml:space="preserve">The research at the Department of Energy Technology is ranging from applied research related to the development of components and systems of equipment in the energy system, to techno- economical modelling of the possible scenarios for future energy systems of countries and regions. Some of the research therefore is highly specialized and attracting attention from a small group of specialists, while other parts of the research has direct interest to policymakers and a broader audience. The span of the research is also reflected in the types and numbers of citations and other references to the Department’s work. </w:t>
            </w:r>
          </w:p>
          <w:p w14:paraId="5AC032A2" w14:textId="77777777" w:rsidR="00910C05" w:rsidRPr="00910C05" w:rsidRDefault="00910C05" w:rsidP="00910C05">
            <w:pPr>
              <w:spacing w:after="0"/>
              <w:rPr>
                <w:rFonts w:cs="Calibri"/>
                <w:w w:val="105"/>
              </w:rPr>
            </w:pPr>
            <w:r w:rsidRPr="00910C05">
              <w:rPr>
                <w:rFonts w:cs="Calibri"/>
                <w:w w:val="105"/>
              </w:rPr>
              <w:t xml:space="preserve">Independently of the type of research, all scientific publications are aimed to reach the most influential international audiences in the specific field. It is the aim of the Department to publish in the most highly rated international journals. However, as participation in international conferences and congresses is important for establishing personal contacts and being exposed to the research society at large, ph.d. students are also urged to submit papers to such events having peer review process. </w:t>
            </w:r>
          </w:p>
          <w:p w14:paraId="1A634C31" w14:textId="77777777" w:rsidR="00910C05" w:rsidRPr="00910C05" w:rsidRDefault="00910C05" w:rsidP="00910C05">
            <w:pPr>
              <w:spacing w:after="0"/>
              <w:rPr>
                <w:rFonts w:cs="Calibri"/>
                <w:w w:val="105"/>
                <w:szCs w:val="24"/>
              </w:rPr>
            </w:pPr>
            <w:r w:rsidRPr="00910C05">
              <w:rPr>
                <w:rFonts w:cs="Calibri"/>
                <w:w w:val="105"/>
                <w:szCs w:val="24"/>
              </w:rPr>
              <w:t xml:space="preserve">For the period since the last RAE in 2012, and up to 2018 (last year of statistics from the DIVA data base) the number of journal articles published annually has increased, from an average of 42 for the years 2012 – 2015 to 49 for the years 2016 to 2018 (fractional counts). The number of peer reviewed conference papers has however decreased, from 29 for the first three years to 24 for the last three. This may be a part of a long-term trend moving from conference publications to journal publications. </w:t>
            </w:r>
          </w:p>
          <w:p w14:paraId="6E6EB762" w14:textId="77777777" w:rsidR="00910C05" w:rsidRPr="00910C05" w:rsidRDefault="00910C05" w:rsidP="00910C05">
            <w:pPr>
              <w:spacing w:after="0"/>
              <w:rPr>
                <w:rFonts w:cs="Calibri"/>
                <w:w w:val="105"/>
                <w:szCs w:val="24"/>
              </w:rPr>
            </w:pPr>
            <w:r w:rsidRPr="00910C05">
              <w:rPr>
                <w:rFonts w:cs="Calibri"/>
                <w:w w:val="105"/>
                <w:szCs w:val="24"/>
              </w:rPr>
              <w:t xml:space="preserve">The citations rate in 3-year windows is stable, with an indication of increasing levels. The levels have been good, with values ranging from 4 to 7,1 citations per article, except for the first year, 2012, when the value was only 2.4. </w:t>
            </w:r>
          </w:p>
          <w:p w14:paraId="287E24A9" w14:textId="77777777" w:rsidR="00910C05" w:rsidRPr="00910C05" w:rsidRDefault="00910C05" w:rsidP="00910C05">
            <w:pPr>
              <w:spacing w:after="0"/>
              <w:rPr>
                <w:rFonts w:cs="Calibri"/>
                <w:w w:val="105"/>
                <w:szCs w:val="24"/>
              </w:rPr>
            </w:pPr>
            <w:r w:rsidRPr="00910C05">
              <w:rPr>
                <w:rFonts w:cs="Calibri"/>
                <w:w w:val="105"/>
                <w:szCs w:val="24"/>
              </w:rPr>
              <w:t xml:space="preserve">The field normalized citations, and the number of Top10% are well above the world average, showing that the publications are well received and attract international attention. Likewise, the fact that the articles are published in well known journals is shown by the Jcf score, and the relatively high share of publications in the Top20% most cited journals. </w:t>
            </w:r>
          </w:p>
          <w:p w14:paraId="0A513D31" w14:textId="77777777" w:rsidR="00910C05" w:rsidRPr="00910C05" w:rsidRDefault="00910C05" w:rsidP="00910C05">
            <w:pPr>
              <w:spacing w:after="0"/>
              <w:rPr>
                <w:rFonts w:cs="Calibri"/>
                <w:w w:val="105"/>
                <w:szCs w:val="24"/>
              </w:rPr>
            </w:pPr>
            <w:r w:rsidRPr="00910C05">
              <w:rPr>
                <w:rFonts w:cs="Calibri"/>
                <w:w w:val="105"/>
                <w:szCs w:val="24"/>
              </w:rPr>
              <w:t xml:space="preserve">But the impact of the published articles is not only related to the number of citations in other scientific articles. Publications could also be referred to in policy-documents, news articles or in social media. A search in Altmetric reveals that the Departments’ articles related to Energy Systems Analysis for countries and regions have received high international attention. </w:t>
            </w:r>
          </w:p>
          <w:p w14:paraId="69A53373" w14:textId="77777777" w:rsidR="00910C05" w:rsidRPr="00910C05" w:rsidRDefault="00910C05" w:rsidP="00910C05">
            <w:pPr>
              <w:spacing w:after="0"/>
              <w:rPr>
                <w:rFonts w:cs="Calibri"/>
                <w:w w:val="105"/>
                <w:szCs w:val="24"/>
              </w:rPr>
            </w:pPr>
          </w:p>
          <w:p w14:paraId="01B3BAE4" w14:textId="77777777" w:rsidR="00910C05" w:rsidRPr="00910C05" w:rsidRDefault="00910C05" w:rsidP="00910C05">
            <w:pPr>
              <w:rPr>
                <w:rFonts w:cs="Calibri"/>
                <w:w w:val="105"/>
              </w:rPr>
            </w:pPr>
            <w:r w:rsidRPr="00910C05">
              <w:rPr>
                <w:rFonts w:cs="Calibri"/>
                <w:w w:val="105"/>
              </w:rPr>
              <w:t>The following articles are examples of the department’s excellence. They have been chosen among those publications that exhibit high citation and impact statistics and are linked to active research themes at the department:</w:t>
            </w:r>
          </w:p>
          <w:p w14:paraId="671576D2" w14:textId="77777777" w:rsidR="00910C05" w:rsidRPr="00910C05" w:rsidRDefault="00910C05" w:rsidP="003A09D8">
            <w:pPr>
              <w:numPr>
                <w:ilvl w:val="0"/>
                <w:numId w:val="27"/>
              </w:numPr>
              <w:spacing w:after="0" w:line="259" w:lineRule="auto"/>
              <w:contextualSpacing/>
              <w:rPr>
                <w:rFonts w:asciiTheme="minorHAnsi" w:eastAsiaTheme="minorEastAsia" w:hAnsiTheme="minorHAnsi"/>
                <w:szCs w:val="24"/>
              </w:rPr>
            </w:pPr>
            <w:r w:rsidRPr="00910C05">
              <w:rPr>
                <w:rFonts w:eastAsiaTheme="minorEastAsia" w:cs="Calibri"/>
                <w:szCs w:val="24"/>
              </w:rPr>
              <w:t xml:space="preserve">Howells, M, Hermann, S, Welsch, M, Bazilian, M, Segerstrom, R, et al (2013) “Integrated analysis of climate change, land-use, energy and water strategies”. </w:t>
            </w:r>
            <w:r w:rsidRPr="00910C05">
              <w:rPr>
                <w:rFonts w:eastAsiaTheme="minorEastAsia" w:cs="Calibri"/>
                <w:szCs w:val="24"/>
              </w:rPr>
              <w:lastRenderedPageBreak/>
              <w:t>NATURE CLIMATE CHANGE, vol 3, issue 7, DOI: 10.1038/NCLIMATE1789, (197 citations, “Highly Cited Paper” badge in WoS).</w:t>
            </w:r>
          </w:p>
          <w:p w14:paraId="3D7C46C2" w14:textId="77777777" w:rsidR="00910C05" w:rsidRPr="00910C05" w:rsidRDefault="00910C05" w:rsidP="00910C05">
            <w:pPr>
              <w:spacing w:after="0" w:line="259" w:lineRule="auto"/>
              <w:ind w:left="360"/>
            </w:pPr>
            <w:r w:rsidRPr="00910C05">
              <w:rPr>
                <w:rFonts w:eastAsia="Calibri" w:cs="Calibri"/>
                <w:szCs w:val="24"/>
              </w:rPr>
              <w:t>Land, energy and water are resources that, when they are exploited, all contributes to climate change. Also, the systems that provide these resources are vulnerable to changes in climate. This work discusses how the lack of integration in resource assessments and policy-making leads to inconsistent strategies and inefficient use of resources. A new paradigm for resource assessment --  CLEWs (climate, land-use, energy and water strategies) -- is presented to aid in these shortcomings.</w:t>
            </w:r>
          </w:p>
          <w:p w14:paraId="63B3639B" w14:textId="77777777" w:rsidR="00910C05" w:rsidRPr="00910C05" w:rsidRDefault="00910C05" w:rsidP="003A09D8">
            <w:pPr>
              <w:numPr>
                <w:ilvl w:val="0"/>
                <w:numId w:val="27"/>
              </w:numPr>
              <w:spacing w:after="0" w:line="259" w:lineRule="auto"/>
              <w:contextualSpacing/>
              <w:rPr>
                <w:rFonts w:asciiTheme="minorHAnsi" w:eastAsiaTheme="minorEastAsia" w:hAnsiTheme="minorHAnsi"/>
                <w:szCs w:val="24"/>
              </w:rPr>
            </w:pPr>
            <w:r w:rsidRPr="00910C05">
              <w:rPr>
                <w:rFonts w:eastAsiaTheme="minorEastAsia" w:cs="Calibri"/>
                <w:szCs w:val="24"/>
              </w:rPr>
              <w:t>Nerini, FF, Tomei, J, Bisaga, I, et al., (2018) “Mapping synergies and trade-offs between energy and the Sustainable Development Goals”. NATURE ENERGY, vol 3, issue 1, DOI: 10.1038/s41560-017-0036-5, (86 citations, “Highly Cited Paper” badge in WoS)</w:t>
            </w:r>
          </w:p>
          <w:p w14:paraId="7401170F" w14:textId="77777777" w:rsidR="00910C05" w:rsidRPr="00910C05" w:rsidRDefault="00910C05" w:rsidP="00910C05">
            <w:pPr>
              <w:spacing w:after="0" w:line="259" w:lineRule="auto"/>
              <w:ind w:left="360"/>
            </w:pPr>
            <w:r w:rsidRPr="00910C05">
              <w:rPr>
                <w:rFonts w:eastAsia="Calibri" w:cs="Calibri"/>
                <w:szCs w:val="24"/>
              </w:rPr>
              <w:t>Th UN’s 17 interconnected Sustainable Development Goals (SDGs) include 169 targets to support a plan of action for people, planet and prosperity. This work characterizes synergies and trade-offs between these targets, to be considered for the delivery of the 2030 Agenda as a whole. Synergies and trade-offs are proven for three key domains affecting the ability to: realize aspirations of greater welfare and well-being; build physical and social infrastructures for sustainable development; and achieve sustainable management of the natural environment.</w:t>
            </w:r>
          </w:p>
          <w:p w14:paraId="68DE8DE9" w14:textId="77777777" w:rsidR="00910C05" w:rsidRPr="00910C05" w:rsidRDefault="00910C05" w:rsidP="003A09D8">
            <w:pPr>
              <w:numPr>
                <w:ilvl w:val="0"/>
                <w:numId w:val="27"/>
              </w:numPr>
              <w:spacing w:after="0"/>
              <w:contextualSpacing/>
              <w:rPr>
                <w:rFonts w:eastAsiaTheme="minorEastAsia" w:cs="Calibri"/>
                <w:w w:val="105"/>
                <w:szCs w:val="24"/>
              </w:rPr>
            </w:pPr>
            <w:r w:rsidRPr="00910C05">
              <w:rPr>
                <w:rFonts w:eastAsiaTheme="minorEastAsia" w:cs="Calibri"/>
                <w:w w:val="105"/>
                <w:szCs w:val="24"/>
              </w:rPr>
              <w:t>Spelling, J ,  Favrat, D ,  Martin, A ,  Augsburger, G , (2012) "Thermoeconomic optimization of a combined-cycle solar tower power plant". ENERGY, ISSN:0360-5442, vol 41, issue 1 (68 citations, cf=4.03)</w:t>
            </w:r>
          </w:p>
          <w:p w14:paraId="3CF72067" w14:textId="77777777" w:rsidR="00910C05" w:rsidRPr="00910C05" w:rsidRDefault="00910C05" w:rsidP="00910C05">
            <w:pPr>
              <w:ind w:left="360"/>
              <w:rPr>
                <w:rFonts w:cs="Calibri"/>
                <w:w w:val="105"/>
                <w:szCs w:val="24"/>
              </w:rPr>
            </w:pPr>
            <w:r w:rsidRPr="00910C05">
              <w:rPr>
                <w:rFonts w:cs="Calibri"/>
                <w:w w:val="105"/>
                <w:szCs w:val="24"/>
              </w:rPr>
              <w:t>The analysis and optimization tools developed for this study serve as a foundation for future investigations. This was one of the division’s first publications in the CSP field.</w:t>
            </w:r>
          </w:p>
          <w:p w14:paraId="6FA2D373" w14:textId="77777777" w:rsidR="00910C05" w:rsidRPr="00910C05" w:rsidRDefault="00910C05" w:rsidP="003A09D8">
            <w:pPr>
              <w:numPr>
                <w:ilvl w:val="0"/>
                <w:numId w:val="27"/>
              </w:numPr>
              <w:spacing w:after="0"/>
              <w:contextualSpacing/>
              <w:rPr>
                <w:rFonts w:eastAsiaTheme="minorEastAsia" w:cs="Calibri"/>
                <w:w w:val="105"/>
                <w:szCs w:val="24"/>
              </w:rPr>
            </w:pPr>
            <w:r w:rsidRPr="00910C05">
              <w:rPr>
                <w:rFonts w:eastAsiaTheme="minorEastAsia" w:cs="Calibri"/>
                <w:w w:val="105"/>
                <w:szCs w:val="24"/>
              </w:rPr>
              <w:t>Gunasekara, SN ,  Pan, RJ ,  Chiu, JN ,  Martin, V , (2016) "Polyols as phase change materials for surplus thermal energy storage". APPLIED ENERGY, ISSN:0306-2619, vol 162 (24 citations, cf=3.67)</w:t>
            </w:r>
          </w:p>
          <w:p w14:paraId="5496E048" w14:textId="77777777" w:rsidR="00910C05" w:rsidRPr="00910C05" w:rsidRDefault="00910C05" w:rsidP="00910C05">
            <w:pPr>
              <w:ind w:left="360"/>
              <w:rPr>
                <w:rFonts w:cs="Calibri"/>
                <w:w w:val="105"/>
                <w:szCs w:val="24"/>
              </w:rPr>
            </w:pPr>
            <w:r w:rsidRPr="00910C05">
              <w:rPr>
                <w:rFonts w:cs="Calibri"/>
                <w:w w:val="105"/>
                <w:szCs w:val="24"/>
              </w:rPr>
              <w:t>A study encompassing fundamental materials development for novel phase change material applications.</w:t>
            </w:r>
          </w:p>
          <w:p w14:paraId="3B270D96" w14:textId="77777777" w:rsidR="00910C05" w:rsidRPr="00910C05" w:rsidRDefault="00910C05" w:rsidP="003A09D8">
            <w:pPr>
              <w:numPr>
                <w:ilvl w:val="0"/>
                <w:numId w:val="27"/>
              </w:numPr>
              <w:spacing w:after="0"/>
              <w:contextualSpacing/>
              <w:rPr>
                <w:rFonts w:eastAsiaTheme="minorEastAsia" w:cs="Calibri"/>
                <w:w w:val="105"/>
                <w:szCs w:val="24"/>
              </w:rPr>
            </w:pPr>
            <w:r w:rsidRPr="00910C05">
              <w:rPr>
                <w:rFonts w:eastAsiaTheme="minorEastAsia" w:cs="Calibri"/>
                <w:w w:val="105"/>
                <w:szCs w:val="24"/>
              </w:rPr>
              <w:t>Mohan, G ,  Kumar, U ,  Pokhrel, MK ,  Martin, A , (2016) "A novel solar thermal polygeneration system for sustainable production of cooling, clean water and domestic hot water in United Arab Emirates: Dynamic simulation and economic evaluation". APPLIED ENERGY, ISSN:0306-2619, vol 167 (32 citations, cf=3.56)</w:t>
            </w:r>
          </w:p>
          <w:p w14:paraId="64410EC1" w14:textId="77777777" w:rsidR="00910C05" w:rsidRPr="00910C05" w:rsidRDefault="00910C05" w:rsidP="00910C05">
            <w:pPr>
              <w:ind w:left="360"/>
              <w:rPr>
                <w:rFonts w:cs="Calibri"/>
                <w:w w:val="105"/>
              </w:rPr>
            </w:pPr>
            <w:r w:rsidRPr="00910C05">
              <w:rPr>
                <w:rFonts w:cs="Calibri"/>
                <w:w w:val="105"/>
              </w:rPr>
              <w:t>This study demonstrates HPT’s international outreach and ability to be instrumental in designing and implementing an innovative pilot-scale facility in solar-driven polygeneration. (Mohan and Pokhrel were former MSc students, while Kumar was a PhD student.)</w:t>
            </w:r>
          </w:p>
          <w:p w14:paraId="2EDFE518" w14:textId="77777777" w:rsidR="00910C05" w:rsidRPr="00910C05" w:rsidRDefault="00910C05" w:rsidP="003A09D8">
            <w:pPr>
              <w:numPr>
                <w:ilvl w:val="0"/>
                <w:numId w:val="27"/>
              </w:numPr>
              <w:spacing w:after="0"/>
              <w:contextualSpacing/>
              <w:rPr>
                <w:rFonts w:eastAsiaTheme="minorEastAsia" w:cs="Calibri"/>
                <w:szCs w:val="24"/>
                <w:lang w:val="en-US" w:eastAsia="sv-SE"/>
              </w:rPr>
            </w:pPr>
            <w:r w:rsidRPr="00910C05">
              <w:rPr>
                <w:rFonts w:eastAsiaTheme="minorEastAsia" w:cs="Calibri"/>
                <w:szCs w:val="24"/>
                <w:lang w:val="en-US" w:eastAsia="sv-SE"/>
              </w:rPr>
              <w:t xml:space="preserve">S Poppi, N Sommerfeldt, C Bales, H Madani, P Lundqvist, 2018, “Techno-economic review of solar heat pump systems for residential heating applications”, </w:t>
            </w:r>
            <w:r w:rsidRPr="00910C05">
              <w:rPr>
                <w:rFonts w:eastAsiaTheme="minorEastAsia" w:cs="Calibri"/>
                <w:caps/>
                <w:szCs w:val="24"/>
                <w:lang w:val="en-US" w:eastAsia="sv-SE"/>
              </w:rPr>
              <w:t>Renewable and Sustainable Energy Reviews</w:t>
            </w:r>
            <w:r w:rsidRPr="00910C05">
              <w:rPr>
                <w:rFonts w:eastAsiaTheme="minorEastAsia" w:cs="Calibri"/>
                <w:szCs w:val="24"/>
                <w:lang w:val="en-US" w:eastAsia="sv-SE"/>
              </w:rPr>
              <w:t xml:space="preserve">, v. 81, part 1, pp. 22 – 32. </w:t>
            </w:r>
            <w:hyperlink r:id="rId9" w:tgtFrame="_blank" w:tooltip="Persistent link using digital object identifier" w:history="1">
              <w:r w:rsidRPr="00910C05">
                <w:rPr>
                  <w:rFonts w:eastAsiaTheme="minorEastAsia" w:cs="Calibri"/>
                  <w:color w:val="0000FF" w:themeColor="hyperlink"/>
                  <w:szCs w:val="24"/>
                  <w:u w:val="single"/>
                  <w:lang w:val="en-US" w:eastAsia="sv-SE"/>
                </w:rPr>
                <w:t>https://doi.org/10.1016/j.rser.2017.07.041</w:t>
              </w:r>
            </w:hyperlink>
          </w:p>
          <w:p w14:paraId="5E64A188" w14:textId="77777777" w:rsidR="00910C05" w:rsidRPr="00910C05" w:rsidRDefault="00910C05" w:rsidP="00910C05">
            <w:pPr>
              <w:ind w:left="360"/>
              <w:rPr>
                <w:rFonts w:cs="Calibri"/>
                <w:szCs w:val="24"/>
                <w:lang w:val="en-US"/>
              </w:rPr>
            </w:pPr>
            <w:r w:rsidRPr="00910C05">
              <w:rPr>
                <w:rFonts w:cs="Calibri"/>
                <w:szCs w:val="24"/>
                <w:lang w:val="en-US"/>
              </w:rPr>
              <w:lastRenderedPageBreak/>
              <w:t xml:space="preserve">The paper is part of a ph.d. thesis on how heat pumps will influence the European energy system and how they can be used for load shifting and thereby facilitate the use of renewable energy. This particular paper is a review of techno-economic studies on solar heat pump systems. </w:t>
            </w:r>
          </w:p>
          <w:p w14:paraId="5595DA1D" w14:textId="77777777" w:rsidR="00910C05" w:rsidRPr="00910C05" w:rsidRDefault="00910C05" w:rsidP="003A09D8">
            <w:pPr>
              <w:numPr>
                <w:ilvl w:val="0"/>
                <w:numId w:val="27"/>
              </w:numPr>
              <w:spacing w:after="0"/>
              <w:contextualSpacing/>
              <w:rPr>
                <w:rFonts w:eastAsiaTheme="minorEastAsia" w:cs="Calibri"/>
                <w:szCs w:val="24"/>
                <w:lang w:val="en-US" w:eastAsia="sv-SE"/>
              </w:rPr>
            </w:pPr>
            <w:r w:rsidRPr="00910C05">
              <w:rPr>
                <w:rFonts w:eastAsiaTheme="minorEastAsia" w:cs="Calibri"/>
                <w:szCs w:val="24"/>
                <w:lang w:val="en-US" w:eastAsia="sv-SE"/>
              </w:rPr>
              <w:t xml:space="preserve">P Monzó, AR Puttige, J Acuña, P Mogensen, A Cazorla, J Rodriguez, C Montagud, F Cerdeira, 2018, “Numerical modeling of ground thermal response with borehole heat exchangers connected in parallel”, </w:t>
            </w:r>
            <w:r w:rsidRPr="00910C05">
              <w:rPr>
                <w:rFonts w:eastAsiaTheme="minorEastAsia" w:cs="Calibri"/>
                <w:caps/>
                <w:szCs w:val="24"/>
                <w:lang w:val="en-US" w:eastAsia="sv-SE"/>
              </w:rPr>
              <w:t>Energy and Buildings</w:t>
            </w:r>
            <w:r w:rsidRPr="00910C05">
              <w:rPr>
                <w:rFonts w:eastAsiaTheme="minorEastAsia" w:cs="Calibri"/>
                <w:szCs w:val="24"/>
                <w:lang w:val="en-US" w:eastAsia="sv-SE"/>
              </w:rPr>
              <w:t xml:space="preserve">, v. 172, pp. 371 – 384, </w:t>
            </w:r>
            <w:hyperlink r:id="rId10" w:tgtFrame="_blank" w:tooltip="Persistent link using digital object identifier" w:history="1">
              <w:r w:rsidRPr="00910C05">
                <w:rPr>
                  <w:rFonts w:eastAsiaTheme="minorEastAsia" w:cs="Calibri"/>
                  <w:color w:val="0000FF" w:themeColor="hyperlink"/>
                  <w:szCs w:val="24"/>
                  <w:u w:val="single"/>
                  <w:lang w:val="en-US" w:eastAsia="sv-SE"/>
                </w:rPr>
                <w:t>https://doi.org/10.1016/j.enbuild.2018.04.057</w:t>
              </w:r>
            </w:hyperlink>
          </w:p>
          <w:p w14:paraId="70DD601A" w14:textId="77777777" w:rsidR="00910C05" w:rsidRPr="00910C05" w:rsidRDefault="00910C05" w:rsidP="00910C05">
            <w:pPr>
              <w:ind w:left="360"/>
              <w:rPr>
                <w:rFonts w:cs="Calibri"/>
                <w:lang w:val="en-US"/>
              </w:rPr>
            </w:pPr>
            <w:r w:rsidRPr="00910C05">
              <w:rPr>
                <w:rFonts w:cs="Calibri"/>
                <w:lang w:val="en-US"/>
              </w:rPr>
              <w:t xml:space="preserve">This article is an example of the output of one of several ph.d. students engaged in projects related to geothermal energy and particularly to heat transfer around geothermal wells and geothermal energy storage systems. </w:t>
            </w:r>
          </w:p>
          <w:p w14:paraId="77BCAFEA" w14:textId="77777777" w:rsidR="00910C05" w:rsidRPr="00910C05" w:rsidRDefault="00910C05" w:rsidP="003A09D8">
            <w:pPr>
              <w:numPr>
                <w:ilvl w:val="0"/>
                <w:numId w:val="27"/>
              </w:numPr>
              <w:spacing w:after="0"/>
              <w:contextualSpacing/>
              <w:rPr>
                <w:rFonts w:eastAsiaTheme="minorEastAsia" w:cs="Calibri"/>
                <w:sz w:val="22"/>
                <w:lang w:val="en-US" w:eastAsia="sv-SE"/>
              </w:rPr>
            </w:pPr>
            <w:r w:rsidRPr="00910C05">
              <w:rPr>
                <w:rFonts w:eastAsiaTheme="minorEastAsia" w:cs="Calibri"/>
                <w:szCs w:val="24"/>
                <w:lang w:val="en-US" w:eastAsia="sv-SE"/>
              </w:rPr>
              <w:t>M Karampour and S Sawalha, 2018, "State-of-the-Art Integrated CO</w:t>
            </w:r>
            <w:r w:rsidRPr="00910C05">
              <w:rPr>
                <w:rFonts w:eastAsiaTheme="minorEastAsia" w:cs="Calibri"/>
                <w:szCs w:val="24"/>
                <w:vertAlign w:val="subscript"/>
                <w:lang w:val="en-US" w:eastAsia="sv-SE"/>
              </w:rPr>
              <w:t>2</w:t>
            </w:r>
            <w:r w:rsidRPr="00910C05">
              <w:rPr>
                <w:rFonts w:eastAsiaTheme="minorEastAsia" w:cs="Calibri"/>
                <w:szCs w:val="24"/>
                <w:lang w:val="en-US" w:eastAsia="sv-SE"/>
              </w:rPr>
              <w:t xml:space="preserve"> Refrigeration System for Supermarkets : a Comparative Analysis," </w:t>
            </w:r>
            <w:r w:rsidRPr="00910C05">
              <w:rPr>
                <w:rFonts w:eastAsiaTheme="minorEastAsia" w:cs="Calibri"/>
                <w:caps/>
                <w:szCs w:val="24"/>
                <w:lang w:val="en-US" w:eastAsia="sv-SE"/>
              </w:rPr>
              <w:t>International journal of refrigeration</w:t>
            </w:r>
            <w:r w:rsidRPr="00910C05">
              <w:rPr>
                <w:rFonts w:eastAsiaTheme="minorEastAsia" w:cs="Calibri"/>
                <w:szCs w:val="24"/>
                <w:lang w:val="en-US" w:eastAsia="sv-SE"/>
              </w:rPr>
              <w:t xml:space="preserve">, v. 86, pp. 239-257, </w:t>
            </w:r>
            <w:hyperlink r:id="rId11" w:tgtFrame="_blank" w:tooltip="Persistent link using digital object identifier" w:history="1">
              <w:r w:rsidRPr="00910C05">
                <w:rPr>
                  <w:rFonts w:eastAsiaTheme="minorEastAsia" w:cs="Calibri"/>
                  <w:color w:val="0000FF" w:themeColor="hyperlink"/>
                  <w:szCs w:val="24"/>
                  <w:u w:val="single"/>
                  <w:lang w:val="en-US" w:eastAsia="sv-SE"/>
                </w:rPr>
                <w:t>https://doi.org/10.1016/j.ijrefrig.2017.11.006</w:t>
              </w:r>
            </w:hyperlink>
            <w:r w:rsidRPr="00910C05">
              <w:rPr>
                <w:rFonts w:eastAsiaTheme="minorEastAsia" w:cs="Calibri"/>
                <w:szCs w:val="24"/>
                <w:lang w:val="en-US" w:eastAsia="sv-SE"/>
              </w:rPr>
              <w:t xml:space="preserve"> </w:t>
            </w:r>
          </w:p>
          <w:p w14:paraId="1CB5A88F" w14:textId="77777777" w:rsidR="00910C05" w:rsidRPr="00910C05" w:rsidRDefault="00910C05" w:rsidP="00910C05">
            <w:pPr>
              <w:ind w:left="360"/>
              <w:rPr>
                <w:rFonts w:cs="Calibri"/>
                <w:szCs w:val="24"/>
                <w:lang w:val="en-US"/>
              </w:rPr>
            </w:pPr>
            <w:r w:rsidRPr="00910C05">
              <w:rPr>
                <w:rFonts w:cs="Calibri"/>
                <w:szCs w:val="24"/>
                <w:lang w:val="en-US"/>
              </w:rPr>
              <w:t>This article is an example of the Department’s work on developing refrigeration and heat pump systems using natural refrigerants. It received the “Very Commented Paper” award by Elsevier for 2018.</w:t>
            </w:r>
          </w:p>
          <w:p w14:paraId="001035DE" w14:textId="77777777" w:rsidR="00910C05" w:rsidRPr="00910C05" w:rsidRDefault="00910C05" w:rsidP="00910C05">
            <w:pPr>
              <w:rPr>
                <w:color w:val="D85497" w:themeColor="accent4"/>
                <w:w w:val="105"/>
                <w:lang w:val="en-US"/>
              </w:rPr>
            </w:pPr>
          </w:p>
          <w:p w14:paraId="08EF36CE" w14:textId="77777777" w:rsidR="00910C05" w:rsidRPr="00910C05" w:rsidRDefault="00910C05" w:rsidP="00910C05">
            <w:pPr>
              <w:spacing w:after="120"/>
              <w:rPr>
                <w:rFonts w:cs="Calibri"/>
                <w:w w:val="105"/>
                <w:szCs w:val="24"/>
              </w:rPr>
            </w:pPr>
            <w:r w:rsidRPr="00910C05">
              <w:rPr>
                <w:rFonts w:cs="Calibri"/>
                <w:b/>
                <w:bCs/>
                <w:w w:val="105"/>
              </w:rPr>
              <w:t>e.</w:t>
            </w:r>
            <w:r w:rsidRPr="00910C05">
              <w:rPr>
                <w:rFonts w:cs="Calibri"/>
                <w:w w:val="105"/>
              </w:rPr>
              <w:t xml:space="preserve"> </w:t>
            </w:r>
            <w:r w:rsidRPr="00910C05">
              <w:rPr>
                <w:rFonts w:eastAsiaTheme="majorEastAsia" w:cs="Calibri"/>
                <w:i/>
                <w:iCs/>
              </w:rPr>
              <w:t>Engagement in national and international research collaboration within academia and its outcomes</w:t>
            </w:r>
            <w:r w:rsidRPr="00910C05">
              <w:rPr>
                <w:rFonts w:cs="Calibri"/>
                <w:w w:val="105"/>
              </w:rPr>
              <w:t xml:space="preserve"> </w:t>
            </w:r>
          </w:p>
          <w:p w14:paraId="5C16364E" w14:textId="77777777" w:rsidR="00910C05" w:rsidRPr="00910C05" w:rsidRDefault="00910C05" w:rsidP="00910C05">
            <w:pPr>
              <w:spacing w:after="0"/>
              <w:rPr>
                <w:rFonts w:asciiTheme="minorHAnsi" w:hAnsiTheme="minorHAnsi"/>
                <w:sz w:val="20"/>
                <w:szCs w:val="20"/>
                <w:lang w:val="en-US"/>
              </w:rPr>
            </w:pPr>
          </w:p>
          <w:p w14:paraId="5B2E420B" w14:textId="77777777" w:rsidR="00910C05" w:rsidRPr="00910C05" w:rsidRDefault="00910C05" w:rsidP="00910C05">
            <w:pPr>
              <w:spacing w:after="0"/>
              <w:rPr>
                <w:rFonts w:cs="Calibri"/>
                <w:szCs w:val="24"/>
                <w:lang w:val="en-US"/>
              </w:rPr>
            </w:pPr>
            <w:r w:rsidRPr="00910C05">
              <w:rPr>
                <w:rFonts w:cs="Calibri"/>
                <w:szCs w:val="24"/>
                <w:lang w:val="en-US"/>
              </w:rPr>
              <w:t xml:space="preserve">The department’s research collaborations are to a high degree an outcome of our research project collaborations. Both international programs such as the EU Horizon2020 and national programs through the Energy agency require consortia collaboration for project funding. At the department of Energy Technology our main part of external funding is coming from those programs and therefore we have a very active and strong research collaboration network with partners from academia, industry, cooperatives, research institutes, governmental agencies, policy makers and governments. In quantitative terms, we collaborate with around 100 industrial and more than 100 academic partners over a five-year period. </w:t>
            </w:r>
          </w:p>
          <w:p w14:paraId="18A8835B" w14:textId="77777777" w:rsidR="00910C05" w:rsidRPr="00910C05" w:rsidRDefault="00910C05" w:rsidP="00910C05">
            <w:pPr>
              <w:spacing w:after="0"/>
              <w:rPr>
                <w:rFonts w:cs="Calibri"/>
                <w:szCs w:val="24"/>
                <w:lang w:val="en-US"/>
              </w:rPr>
            </w:pPr>
          </w:p>
          <w:p w14:paraId="13C3E7FE" w14:textId="77777777" w:rsidR="00910C05" w:rsidRPr="00910C05" w:rsidRDefault="00910C05" w:rsidP="00910C05">
            <w:pPr>
              <w:spacing w:after="0"/>
              <w:rPr>
                <w:rFonts w:cs="Calibri"/>
                <w:szCs w:val="24"/>
                <w:lang w:val="en-US"/>
              </w:rPr>
            </w:pPr>
            <w:r w:rsidRPr="00910C05">
              <w:rPr>
                <w:rFonts w:cs="Calibri"/>
                <w:szCs w:val="24"/>
                <w:lang w:val="en-US"/>
              </w:rPr>
              <w:t>National</w:t>
            </w:r>
          </w:p>
          <w:p w14:paraId="5DA7BC03"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t>Collaboration with sister departments of most technical Universities in Sweden through national programs (Chalmers, Lund, Luleå, Mälardalen, Linköping, Uppsala, etc)</w:t>
            </w:r>
          </w:p>
          <w:p w14:paraId="06E49689"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t xml:space="preserve">Industrial partnership with Siemens Industrial Turbines in the area of gas and steam turbines for CSP and other applications. </w:t>
            </w:r>
          </w:p>
          <w:p w14:paraId="0A6FB846"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t xml:space="preserve">Industrial partnership with GKN Aerospace Sweden AB in the development of new components for jet engines and rocket motors. </w:t>
            </w:r>
          </w:p>
          <w:p w14:paraId="7AFD193D"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t>Industrial partnership with Alfa Laval in the area of components for innovative new heat pumps</w:t>
            </w:r>
          </w:p>
          <w:p w14:paraId="5ABE21C2"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t>Industrial partnership with Electrolux in the development of new technology for cooling applications</w:t>
            </w:r>
          </w:p>
          <w:p w14:paraId="4B21FF32"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lastRenderedPageBreak/>
              <w:t>Industrial and academic collaboration in program TurboPower, funded by the Swedish Energy Agency and partner companies (same as above). This program was coordinated by EGI and ran until 2016. Academic partners included Chalmers, LTH, LiU.</w:t>
            </w:r>
          </w:p>
          <w:p w14:paraId="7247F455"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t xml:space="preserve">Industrial and academic collaboration in program EFFSYS, funded by the Swedish Energy Agency and partner companies. This program was coordinated by EGI and ran until 2018. </w:t>
            </w:r>
          </w:p>
          <w:p w14:paraId="4D75528B"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t>Project participation in aeronautics program NFFP (Vinnova, Swedish Armed Forces, Swedish Defense Materiel Administration) and in aerospace program NRFP (National Space Agency).</w:t>
            </w:r>
          </w:p>
          <w:p w14:paraId="28EC8D77"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t>Project partnerships with the City of Stockholm, City of Uppsala, Cooperative ElectriCity, Vattenfall, Ellevio, RISE, Stockholm Exergy, EON in several projects for city and energy infrastructure development.</w:t>
            </w:r>
          </w:p>
          <w:p w14:paraId="15FBE872" w14:textId="77777777" w:rsidR="00910C05" w:rsidRPr="00910C05" w:rsidRDefault="00910C05" w:rsidP="003A09D8">
            <w:pPr>
              <w:numPr>
                <w:ilvl w:val="0"/>
                <w:numId w:val="27"/>
              </w:numPr>
              <w:spacing w:after="0"/>
              <w:contextualSpacing/>
              <w:rPr>
                <w:rFonts w:cs="Calibri"/>
                <w:szCs w:val="24"/>
                <w:lang w:val="en-US"/>
              </w:rPr>
            </w:pPr>
            <w:r w:rsidRPr="00910C05">
              <w:rPr>
                <w:rFonts w:cs="Calibri"/>
                <w:szCs w:val="24"/>
                <w:lang w:val="en-US"/>
              </w:rPr>
              <w:t xml:space="preserve">Collaboration with SME’s and start-ups such as Azelio AB (energy storage, Stirling engines), Compower AB (microturbines), Scarab Development AB (membrane distillation), etc. </w:t>
            </w:r>
          </w:p>
          <w:p w14:paraId="7C112B90" w14:textId="77777777" w:rsidR="00910C05" w:rsidRPr="00910C05" w:rsidRDefault="00910C05" w:rsidP="00910C05">
            <w:pPr>
              <w:spacing w:after="0"/>
              <w:rPr>
                <w:rFonts w:cs="Calibri"/>
                <w:szCs w:val="24"/>
                <w:lang w:val="en-US"/>
              </w:rPr>
            </w:pPr>
          </w:p>
          <w:p w14:paraId="39C11E76" w14:textId="77777777" w:rsidR="00910C05" w:rsidRPr="00910C05" w:rsidRDefault="00910C05" w:rsidP="00910C05">
            <w:pPr>
              <w:spacing w:after="0"/>
              <w:rPr>
                <w:rFonts w:cs="Calibri"/>
                <w:szCs w:val="24"/>
                <w:lang w:val="en-US"/>
              </w:rPr>
            </w:pPr>
            <w:r w:rsidRPr="00910C05">
              <w:rPr>
                <w:rFonts w:cs="Calibri"/>
                <w:szCs w:val="24"/>
                <w:lang w:val="en-US"/>
              </w:rPr>
              <w:t>International</w:t>
            </w:r>
          </w:p>
          <w:p w14:paraId="40BA651E" w14:textId="77777777" w:rsidR="00910C05" w:rsidRPr="00910C05" w:rsidRDefault="00910C05" w:rsidP="003A09D8">
            <w:pPr>
              <w:numPr>
                <w:ilvl w:val="0"/>
                <w:numId w:val="34"/>
              </w:numPr>
              <w:spacing w:after="0"/>
              <w:contextualSpacing/>
              <w:rPr>
                <w:rFonts w:cs="Calibri"/>
                <w:szCs w:val="24"/>
                <w:lang w:val="en-US"/>
              </w:rPr>
            </w:pPr>
            <w:r w:rsidRPr="00910C05">
              <w:rPr>
                <w:rFonts w:cs="Calibri"/>
                <w:szCs w:val="24"/>
                <w:lang w:val="en-US"/>
              </w:rPr>
              <w:t xml:space="preserve">EGI’s division of Energy Systems (former div of Energy Systems Analysis) has developed and maintains one of the world-leading open source tools for energy and integrated water-energy-land use planning: the Open Source energy Modelling System (OSeMOSYS). As part of this, we are leading a world-wide community around the tool, which has resulted in OSeMOSYS applications in developing countries, from the use in academic teaching, through to the creation of research teams, building of modelling capacity within planning units of Governments and use as science-base for development plans. i) the use for higher education teaching in 30+ universities worldwide; ii) featuring as one of the United Nations Modelling Tools for Sustainable Development: </w:t>
            </w:r>
            <w:hyperlink r:id="rId12">
              <w:r w:rsidRPr="00910C05">
                <w:rPr>
                  <w:rFonts w:cs="Calibri"/>
                  <w:szCs w:val="24"/>
                  <w:u w:val="single"/>
                  <w:lang w:val="en-US"/>
                </w:rPr>
                <w:t>https://un-modelling.github.io/</w:t>
              </w:r>
            </w:hyperlink>
            <w:r w:rsidRPr="00910C05">
              <w:rPr>
                <w:rFonts w:cs="Calibri"/>
                <w:szCs w:val="24"/>
                <w:lang w:val="en-US"/>
              </w:rPr>
              <w:t xml:space="preserve">  ; and iii) World Bank Group’s outlook on the enhancement of the climate resilience of Africa’s power and water infrastructure: </w:t>
            </w:r>
            <w:hyperlink r:id="rId13">
              <w:r w:rsidRPr="00910C05">
                <w:rPr>
                  <w:rFonts w:cs="Calibri"/>
                  <w:szCs w:val="24"/>
                  <w:u w:val="single"/>
                  <w:lang w:val="en-US"/>
                </w:rPr>
                <w:t>https://openknowledge.worldbank.org/handle/10986/21875</w:t>
              </w:r>
            </w:hyperlink>
            <w:r w:rsidRPr="00910C05">
              <w:rPr>
                <w:rFonts w:cs="Calibri"/>
                <w:szCs w:val="24"/>
                <w:lang w:val="en-US"/>
              </w:rPr>
              <w:t xml:space="preserve"> </w:t>
            </w:r>
          </w:p>
          <w:p w14:paraId="49C5F7FB" w14:textId="77777777" w:rsidR="00910C05" w:rsidRPr="00910C05" w:rsidRDefault="00910C05" w:rsidP="003A09D8">
            <w:pPr>
              <w:numPr>
                <w:ilvl w:val="0"/>
                <w:numId w:val="34"/>
              </w:numPr>
              <w:spacing w:after="0"/>
              <w:contextualSpacing/>
              <w:rPr>
                <w:color w:val="1F497D"/>
                <w:sz w:val="22"/>
                <w:lang w:val="en-US"/>
              </w:rPr>
            </w:pPr>
            <w:r w:rsidRPr="00910C05">
              <w:rPr>
                <w:rFonts w:cs="Calibri"/>
                <w:szCs w:val="24"/>
                <w:lang w:val="en-US"/>
              </w:rPr>
              <w:t>Coordination of and participation in EU research projects with relevance to heat pumps and refrigerants (</w:t>
            </w:r>
            <w:r w:rsidRPr="00910C05">
              <w:rPr>
                <w:lang w:val="en-US"/>
              </w:rPr>
              <w:t>NxtHPG, ExpHeat, Ground Med, GeoPower, and more</w:t>
            </w:r>
            <w:r w:rsidRPr="00910C05">
              <w:rPr>
                <w:color w:val="1F497D"/>
                <w:lang w:val="en-US"/>
              </w:rPr>
              <w:t xml:space="preserve">), </w:t>
            </w:r>
            <w:r w:rsidRPr="00910C05">
              <w:rPr>
                <w:lang w:val="en-US"/>
              </w:rPr>
              <w:t>to</w:t>
            </w:r>
            <w:r w:rsidRPr="00910C05">
              <w:rPr>
                <w:rFonts w:cs="Calibri"/>
                <w:szCs w:val="24"/>
                <w:lang w:val="en-US"/>
              </w:rPr>
              <w:t xml:space="preserve"> biofuels research infrastructure (FP7 BRISK, H2020 BRISK2), to aeromechanics in turbomachines and jet engines (FP7 FUTURE, H2020 ARIAS), pilot-scale facilities in biofuels (Pilots4U); energy storage strategies for power and heat (PUMPHEAT); Concentration Solar Power </w:t>
            </w:r>
            <w:r w:rsidRPr="00910C05">
              <w:rPr>
                <w:rFonts w:cs="Calibri"/>
                <w:caps/>
                <w:szCs w:val="24"/>
                <w:lang w:val="en-US"/>
              </w:rPr>
              <w:t>Tesconsol</w:t>
            </w:r>
            <w:r w:rsidRPr="00910C05">
              <w:rPr>
                <w:rFonts w:cs="Calibri"/>
                <w:szCs w:val="24"/>
                <w:lang w:val="en-US"/>
              </w:rPr>
              <w:t>; Energy Infrastrucuture in Cities INTEGRCITY, City development GROWSMARTER, resource efficiency Nexus SIM4NEXUS and many more. These initiatives involved top European universities and industry in the respective field.</w:t>
            </w:r>
          </w:p>
          <w:p w14:paraId="4AC727FB" w14:textId="77777777" w:rsidR="00910C05" w:rsidRPr="00910C05" w:rsidRDefault="00910C05" w:rsidP="003A09D8">
            <w:pPr>
              <w:numPr>
                <w:ilvl w:val="0"/>
                <w:numId w:val="34"/>
              </w:numPr>
              <w:spacing w:after="0"/>
              <w:contextualSpacing/>
              <w:rPr>
                <w:rFonts w:cs="Calibri"/>
                <w:szCs w:val="24"/>
                <w:lang w:val="en-US"/>
              </w:rPr>
            </w:pPr>
            <w:r w:rsidRPr="00910C05">
              <w:rPr>
                <w:rFonts w:cs="Calibri"/>
                <w:szCs w:val="24"/>
                <w:lang w:val="en-US"/>
              </w:rPr>
              <w:t>Coordination of SELECT+, an Erasmus Mundus Joint Doctoral Program in sustainable energy (program ends in 2020).</w:t>
            </w:r>
          </w:p>
          <w:p w14:paraId="5555B32E" w14:textId="77777777" w:rsidR="00910C05" w:rsidRPr="00910C05" w:rsidRDefault="00910C05" w:rsidP="003A09D8">
            <w:pPr>
              <w:numPr>
                <w:ilvl w:val="0"/>
                <w:numId w:val="34"/>
              </w:numPr>
              <w:spacing w:after="0"/>
              <w:contextualSpacing/>
              <w:rPr>
                <w:rFonts w:cs="Calibri"/>
                <w:szCs w:val="24"/>
                <w:lang w:val="en-US"/>
              </w:rPr>
            </w:pPr>
            <w:r w:rsidRPr="00910C05">
              <w:rPr>
                <w:rFonts w:cs="Calibri"/>
                <w:szCs w:val="24"/>
                <w:lang w:val="en-US"/>
              </w:rPr>
              <w:t xml:space="preserve">EGI has received several PhD students with funding from the Chinese Scholarship Council (CSC). A number of these students were linked to SJTU and Zhejiang University, main partners of EGI in China. </w:t>
            </w:r>
          </w:p>
          <w:p w14:paraId="53C7D43C" w14:textId="77777777" w:rsidR="00910C05" w:rsidRPr="00910C05" w:rsidRDefault="00910C05" w:rsidP="003A09D8">
            <w:pPr>
              <w:numPr>
                <w:ilvl w:val="0"/>
                <w:numId w:val="34"/>
              </w:numPr>
              <w:spacing w:after="0"/>
              <w:contextualSpacing/>
              <w:rPr>
                <w:rFonts w:cs="Calibri"/>
                <w:szCs w:val="24"/>
                <w:lang w:val="en-US"/>
              </w:rPr>
            </w:pPr>
            <w:r w:rsidRPr="00910C05">
              <w:rPr>
                <w:rFonts w:cs="Calibri"/>
                <w:szCs w:val="24"/>
                <w:lang w:val="en-US"/>
              </w:rPr>
              <w:t>The Swedish International Development Agency has financed several PhD students from UMSS in Cochabamba, Bolivia.</w:t>
            </w:r>
          </w:p>
          <w:p w14:paraId="3425EA8C" w14:textId="77777777" w:rsidR="00910C05" w:rsidRPr="00910C05" w:rsidRDefault="00910C05" w:rsidP="00910C05">
            <w:pPr>
              <w:spacing w:after="0"/>
              <w:rPr>
                <w:rFonts w:cs="Calibri"/>
                <w:szCs w:val="24"/>
                <w:lang w:val="en-US"/>
              </w:rPr>
            </w:pPr>
            <w:r w:rsidRPr="00910C05">
              <w:rPr>
                <w:rFonts w:cs="Calibri"/>
                <w:szCs w:val="24"/>
                <w:lang w:val="en-US"/>
              </w:rPr>
              <w:lastRenderedPageBreak/>
              <w:t>EGI faculty members are influential and build collaborations in a number of key international organizations: board of directors, International Solar Energy Agency (Viktoria Martin); supervisory board, European Consortium for Advanced Training in Aerospace (Andrew Martin); board member of International Institute of Refrigeration (Björn Palm); national delegate in EUROTHERM (Björn Palm)</w:t>
            </w:r>
          </w:p>
          <w:p w14:paraId="2DA3D427" w14:textId="77777777" w:rsidR="00910C05" w:rsidRPr="00910C05" w:rsidRDefault="00910C05" w:rsidP="00910C05">
            <w:pPr>
              <w:spacing w:after="0"/>
              <w:rPr>
                <w:rFonts w:asciiTheme="minorHAnsi" w:hAnsiTheme="minorHAnsi"/>
                <w:sz w:val="20"/>
                <w:szCs w:val="20"/>
                <w:lang w:val="en-US"/>
              </w:rPr>
            </w:pPr>
          </w:p>
          <w:p w14:paraId="010EA71A" w14:textId="77777777" w:rsidR="00910C05" w:rsidRPr="00910C05" w:rsidRDefault="00910C05" w:rsidP="00910C05">
            <w:pPr>
              <w:spacing w:after="120"/>
              <w:rPr>
                <w:rFonts w:cs="Calibri"/>
                <w:szCs w:val="24"/>
              </w:rPr>
            </w:pPr>
            <w:r w:rsidRPr="00910C05">
              <w:rPr>
                <w:rFonts w:cs="Calibri"/>
                <w:b/>
                <w:bCs/>
              </w:rPr>
              <w:t>f.</w:t>
            </w:r>
            <w:r w:rsidRPr="00910C05">
              <w:rPr>
                <w:rFonts w:cs="Calibri"/>
              </w:rPr>
              <w:t xml:space="preserve"> </w:t>
            </w:r>
            <w:r w:rsidRPr="00910C05">
              <w:rPr>
                <w:rFonts w:cs="Calibri"/>
                <w:i/>
                <w:iCs/>
              </w:rPr>
              <w:t>Follow up from previous evaluations</w:t>
            </w:r>
          </w:p>
          <w:p w14:paraId="2A2D3623" w14:textId="77777777" w:rsidR="00910C05" w:rsidRPr="00910C05" w:rsidRDefault="00910C05" w:rsidP="00910C05">
            <w:pPr>
              <w:rPr>
                <w:rFonts w:cs="Calibri"/>
                <w:lang w:val="en-US"/>
              </w:rPr>
            </w:pPr>
            <w:r w:rsidRPr="00910C05">
              <w:rPr>
                <w:rFonts w:cs="Calibri"/>
                <w:lang w:val="en-US"/>
              </w:rPr>
              <w:t xml:space="preserve">The assessment of the Department in the RAE 2012 by the external experts was quite positive. The assessment was divided into three areas and for each a score from 1 to 5 was given, together with a short motivation. The </w:t>
            </w:r>
            <w:r w:rsidRPr="00910C05">
              <w:rPr>
                <w:rFonts w:cs="Calibri"/>
                <w:i/>
                <w:lang w:val="en-US"/>
              </w:rPr>
              <w:t>Research Output Quality</w:t>
            </w:r>
            <w:r w:rsidRPr="00910C05">
              <w:rPr>
                <w:rFonts w:cs="Calibri"/>
                <w:lang w:val="en-US"/>
              </w:rPr>
              <w:t xml:space="preserve"> was given the score 4 and the experts pointed out that the majority of the Department is well established and recognized internationally. They also pointed out the excellent laboratory facilities. At the time, the Department had two smaller divisions focusing on Energy Systems Analysis and Climate Studies. It was suggested that these groups should be merged. During last year this suggestion has been followed, and a new merged division has been formed. </w:t>
            </w:r>
          </w:p>
          <w:p w14:paraId="23829E35" w14:textId="77777777" w:rsidR="00910C05" w:rsidRPr="00910C05" w:rsidRDefault="00910C05" w:rsidP="00910C05">
            <w:pPr>
              <w:rPr>
                <w:rFonts w:cs="Calibri"/>
                <w:lang w:val="en-US"/>
              </w:rPr>
            </w:pPr>
            <w:r w:rsidRPr="00910C05">
              <w:rPr>
                <w:rFonts w:cs="Calibri"/>
                <w:i/>
                <w:lang w:val="en-US"/>
              </w:rPr>
              <w:t>Impact and Engagement with Society</w:t>
            </w:r>
            <w:r w:rsidRPr="00910C05">
              <w:rPr>
                <w:rFonts w:cs="Calibri"/>
                <w:lang w:val="en-US"/>
              </w:rPr>
              <w:t xml:space="preserve"> was given the score 5 and it was </w:t>
            </w:r>
            <w:r w:rsidRPr="00910C05">
              <w:rPr>
                <w:rFonts w:cs="Calibri"/>
                <w:iCs/>
                <w:lang w:val="en-US"/>
              </w:rPr>
              <w:t>recognized that</w:t>
            </w:r>
            <w:r w:rsidRPr="00910C05">
              <w:rPr>
                <w:rFonts w:cs="Calibri"/>
                <w:i/>
                <w:iCs/>
                <w:lang w:val="en-US"/>
              </w:rPr>
              <w:t xml:space="preserve"> “the UoA has pioneered the promotion of environmentally benign energy technologies through top-level studies on e.g. innovative combustion, gasification technologies, biomass-based energy processes, new heat pump applications such as GCHP (ground-coupled heat pumps), the use of [environmentally] friendly refrigerants including carbon dioxide, ammonia, hydrocarbons, solar-driven refrigeration, reduction of the charge inventory in cooling equipment.” </w:t>
            </w:r>
            <w:r w:rsidRPr="00910C05">
              <w:rPr>
                <w:rFonts w:cs="Calibri"/>
                <w:iCs/>
                <w:lang w:val="en-US"/>
              </w:rPr>
              <w:t>and</w:t>
            </w:r>
            <w:r w:rsidRPr="00910C05">
              <w:rPr>
                <w:rFonts w:cs="Calibri"/>
                <w:lang w:val="en-US"/>
              </w:rPr>
              <w:t xml:space="preserve"> that the department “…</w:t>
            </w:r>
            <w:r w:rsidRPr="00910C05">
              <w:rPr>
                <w:rFonts w:cs="Calibri"/>
                <w:i/>
                <w:iCs/>
                <w:lang w:val="en-US"/>
              </w:rPr>
              <w:t>continues to be a well-recognized world leading reference.”</w:t>
            </w:r>
          </w:p>
          <w:p w14:paraId="64FC0CCA" w14:textId="77777777" w:rsidR="00910C05" w:rsidRPr="00910C05" w:rsidRDefault="00910C05" w:rsidP="00910C05">
            <w:pPr>
              <w:rPr>
                <w:rFonts w:cs="Calibri"/>
                <w:b/>
                <w:lang w:val="en-US"/>
              </w:rPr>
            </w:pPr>
            <w:r w:rsidRPr="00910C05">
              <w:rPr>
                <w:rFonts w:cs="Calibri"/>
                <w:lang w:val="en-US"/>
              </w:rPr>
              <w:t xml:space="preserve">The </w:t>
            </w:r>
            <w:r w:rsidRPr="00910C05">
              <w:rPr>
                <w:rFonts w:cs="Calibri"/>
                <w:i/>
                <w:lang w:val="en-US"/>
              </w:rPr>
              <w:t>Research Environment</w:t>
            </w:r>
            <w:r w:rsidRPr="00910C05">
              <w:rPr>
                <w:rFonts w:cs="Calibri"/>
                <w:lang w:val="en-US"/>
              </w:rPr>
              <w:t xml:space="preserve"> was given the score 4 and the external experts pointed out that the staff is highly motivated and the atmosphere is forward-looking. </w:t>
            </w:r>
          </w:p>
          <w:p w14:paraId="3483860D" w14:textId="77777777" w:rsidR="00910C05" w:rsidRPr="00910C05" w:rsidRDefault="00910C05" w:rsidP="00910C05">
            <w:pPr>
              <w:rPr>
                <w:rFonts w:cs="Calibri"/>
                <w:lang w:val="en-US"/>
              </w:rPr>
            </w:pPr>
            <w:r w:rsidRPr="00910C05">
              <w:rPr>
                <w:rFonts w:cs="Calibri"/>
                <w:lang w:val="en-US"/>
              </w:rPr>
              <w:t xml:space="preserve">The panel also pointed out some areas of possible improvement. One of these was that </w:t>
            </w:r>
            <w:r w:rsidRPr="00910C05">
              <w:rPr>
                <w:rFonts w:cs="Calibri"/>
                <w:iCs/>
                <w:lang w:val="en-US"/>
              </w:rPr>
              <w:t xml:space="preserve">researcher mobility both to and from the group was rather low. </w:t>
            </w:r>
            <w:r w:rsidRPr="00910C05">
              <w:rPr>
                <w:rFonts w:cs="Calibri"/>
                <w:lang w:val="en-US"/>
              </w:rPr>
              <w:t xml:space="preserve">In general, the mobility has increased since 2012. In particular, the number of incoming students and researchers has increased. Some of these have been offered permanent positions at the department. </w:t>
            </w:r>
          </w:p>
          <w:p w14:paraId="34BA68A8" w14:textId="77777777" w:rsidR="00910C05" w:rsidRPr="00910C05" w:rsidRDefault="00910C05" w:rsidP="00910C05">
            <w:pPr>
              <w:rPr>
                <w:rFonts w:cs="Calibri"/>
                <w:lang w:val="en-US"/>
              </w:rPr>
            </w:pPr>
            <w:r w:rsidRPr="00910C05">
              <w:rPr>
                <w:rFonts w:cs="Calibri"/>
                <w:lang w:val="en-US"/>
              </w:rPr>
              <w:t xml:space="preserve">Another point mentioned was that the Department was more focused on education than on academic research. This comment is still valid as the department has a relatively high teaching load compared to the number of staff, and as the research funding from KTH is low compared to other departments at ITM and, even more so, compared to departments at KTH in general. Efforts have been made to change the funding distribution to allow for recruiting new researchers and faculty since 2012, but has only partly been successful. The distribution of funding at the KTH and school level is out of the control of the Department. </w:t>
            </w:r>
          </w:p>
          <w:p w14:paraId="6E4DB6E4" w14:textId="77777777" w:rsidR="00910C05" w:rsidRPr="00910C05" w:rsidRDefault="00910C05" w:rsidP="00910C05">
            <w:pPr>
              <w:rPr>
                <w:rFonts w:cs="Calibri"/>
                <w:lang w:val="en-US"/>
              </w:rPr>
            </w:pPr>
            <w:r w:rsidRPr="00910C05">
              <w:rPr>
                <w:rFonts w:cs="Calibri"/>
                <w:lang w:val="en-US"/>
              </w:rPr>
              <w:t xml:space="preserve">Many Ph.D. students still take too long time to finish the studies. The problem is being addressed, but has only partly been successful at this time. One reason is the low number of Ph.D. level staff in relation to the teaching load, which has resulted in Ph.D. students being asked to spend more than the typical 20% of their time on teaching. The number of Ph.D. level staff has increased considerably since 2012, partly by hiring </w:t>
            </w:r>
            <w:r w:rsidRPr="00910C05">
              <w:rPr>
                <w:rFonts w:cs="Calibri"/>
                <w:lang w:val="en-US"/>
              </w:rPr>
              <w:lastRenderedPageBreak/>
              <w:t xml:space="preserve">(temporary) post-docs instead of Ph.D. students for externally funded projects, and this is expected to reduce the load on the Ph.D. students. </w:t>
            </w:r>
          </w:p>
          <w:p w14:paraId="366E3C12" w14:textId="77777777" w:rsidR="00910C05" w:rsidRPr="00910C05" w:rsidRDefault="00910C05" w:rsidP="00910C05">
            <w:pPr>
              <w:rPr>
                <w:rFonts w:cs="Calibri"/>
                <w:lang w:val="en-US"/>
              </w:rPr>
            </w:pPr>
            <w:r w:rsidRPr="00910C05">
              <w:rPr>
                <w:rFonts w:cs="Calibri"/>
                <w:lang w:val="en-US"/>
              </w:rPr>
              <w:t>Finally, we would like to refer to the statement by the chairperson of the panel, Dr Tuija Pulkkinen, cited in the magazine KTH &amp; Co stating that “…KTH could profile itself as the world’s best energy university, with a special focus on sustainable energy and environment…. what is missing is an effort of branding…”</w:t>
            </w:r>
          </w:p>
          <w:p w14:paraId="3E03401A" w14:textId="77777777" w:rsidR="00910C05" w:rsidRPr="00910C05" w:rsidRDefault="00910C05" w:rsidP="00910C05">
            <w:r w:rsidRPr="00910C05">
              <w:rPr>
                <w:rFonts w:cs="Calibri"/>
                <w:lang w:val="en-US"/>
              </w:rPr>
              <w:t>This part has still not been addressed at KTH level unfortunately. At department level an effort is ongoing to start to funnel all local branding activities under the EGI department level brand. This work is has just started and we cannot see any effect of it yet.</w:t>
            </w:r>
          </w:p>
        </w:tc>
      </w:tr>
      <w:tr w:rsidR="00910C05" w:rsidRPr="00910C05" w14:paraId="60A73BCC" w14:textId="77777777" w:rsidTr="00D874A5">
        <w:tc>
          <w:tcPr>
            <w:tcW w:w="8789" w:type="dxa"/>
          </w:tcPr>
          <w:p w14:paraId="42F58976" w14:textId="77777777" w:rsidR="00910C05" w:rsidRPr="00910C05" w:rsidRDefault="00910C05" w:rsidP="00910C05">
            <w:pPr>
              <w:spacing w:after="120"/>
              <w:rPr>
                <w:rFonts w:cs="Calibri"/>
                <w:b/>
                <w:szCs w:val="24"/>
                <w:lang w:val="en-US"/>
              </w:rPr>
            </w:pPr>
          </w:p>
        </w:tc>
      </w:tr>
    </w:tbl>
    <w:p w14:paraId="0AADE957" w14:textId="77777777" w:rsidR="00910C05" w:rsidRPr="00910C05" w:rsidRDefault="00910C05" w:rsidP="00910C05">
      <w:pPr>
        <w:spacing w:after="0"/>
        <w:rPr>
          <w:rFonts w:cs="Calibri"/>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10C05" w:rsidRPr="00910C05" w14:paraId="621747AC" w14:textId="77777777" w:rsidTr="00D874A5">
        <w:tc>
          <w:tcPr>
            <w:tcW w:w="8789" w:type="dxa"/>
            <w:shd w:val="clear" w:color="auto" w:fill="D9D9D9" w:themeFill="background1" w:themeFillShade="D9"/>
          </w:tcPr>
          <w:p w14:paraId="4CDD551E" w14:textId="77777777" w:rsidR="00910C05" w:rsidRPr="00910C05" w:rsidRDefault="00910C05" w:rsidP="00910C05">
            <w:pPr>
              <w:spacing w:after="0"/>
              <w:rPr>
                <w:rFonts w:cs="Calibri"/>
                <w:b/>
                <w:bCs/>
                <w:szCs w:val="24"/>
              </w:rPr>
            </w:pPr>
            <w:r w:rsidRPr="00910C05">
              <w:rPr>
                <w:rFonts w:cs="Calibri"/>
                <w:b/>
                <w:bCs/>
                <w:szCs w:val="24"/>
              </w:rPr>
              <w:t xml:space="preserve">3. Viability </w:t>
            </w:r>
          </w:p>
        </w:tc>
      </w:tr>
      <w:tr w:rsidR="00910C05" w:rsidRPr="00910C05" w14:paraId="327F5447" w14:textId="77777777" w:rsidTr="00D874A5">
        <w:tc>
          <w:tcPr>
            <w:tcW w:w="8789" w:type="dxa"/>
          </w:tcPr>
          <w:p w14:paraId="32258147" w14:textId="77777777" w:rsidR="00910C05" w:rsidRPr="00910C05" w:rsidRDefault="00910C05" w:rsidP="00910C05">
            <w:pPr>
              <w:spacing w:after="120"/>
              <w:rPr>
                <w:rFonts w:eastAsiaTheme="majorEastAsia" w:cs="Calibri"/>
                <w:i/>
                <w:szCs w:val="24"/>
                <w:lang w:val="en-US"/>
              </w:rPr>
            </w:pPr>
            <w:r w:rsidRPr="00910C05">
              <w:rPr>
                <w:rFonts w:eastAsiaTheme="majorEastAsia" w:cs="Calibri"/>
                <w:b/>
                <w:bCs/>
                <w:lang w:val="en-US"/>
              </w:rPr>
              <w:t>a.</w:t>
            </w:r>
            <w:r w:rsidRPr="00910C05">
              <w:rPr>
                <w:rFonts w:eastAsiaTheme="majorEastAsia" w:cs="Calibri"/>
                <w:lang w:val="en-US"/>
              </w:rPr>
              <w:t xml:space="preserve"> </w:t>
            </w:r>
            <w:r w:rsidRPr="00910C05">
              <w:rPr>
                <w:rFonts w:cs="Calibri"/>
                <w:i/>
                <w:iCs/>
                <w:lang w:val="en-US"/>
              </w:rPr>
              <w:t>Funding; internal and external</w:t>
            </w:r>
            <w:r w:rsidRPr="00910C05">
              <w:rPr>
                <w:rFonts w:eastAsiaTheme="majorEastAsia" w:cs="Calibri"/>
                <w:i/>
                <w:iCs/>
                <w:lang w:val="en-US"/>
              </w:rPr>
              <w:t xml:space="preserve"> </w:t>
            </w:r>
          </w:p>
          <w:p w14:paraId="63DD5AEE" w14:textId="77777777" w:rsidR="00910C05" w:rsidRPr="00910C05" w:rsidRDefault="00910C05" w:rsidP="00910C05">
            <w:pPr>
              <w:spacing w:after="0"/>
              <w:rPr>
                <w:rFonts w:eastAsiaTheme="majorEastAsia" w:cs="Calibri"/>
                <w:szCs w:val="24"/>
                <w:lang w:val="en-US"/>
              </w:rPr>
            </w:pPr>
            <w:r w:rsidRPr="00910C05">
              <w:rPr>
                <w:rFonts w:eastAsiaTheme="majorEastAsia" w:cs="Calibri"/>
                <w:szCs w:val="24"/>
                <w:lang w:val="en-US"/>
              </w:rPr>
              <w:t xml:space="preserve">The Department’s sources of funding are mainly external, resulting from positive evaluations of applications sent to Swedish and international funding agencies. Only a limited share of the research funding is internal, i.e. comes from KTH. During the time period 2012 to 2019, the internal share has mostly been between 30 and 35%, but during 2017 the share was down to 25%. However, during 2018 and 2019 the share of internal funding increased and reached 38% in 2019. </w:t>
            </w:r>
          </w:p>
          <w:p w14:paraId="3DF64A02" w14:textId="77777777" w:rsidR="00910C05" w:rsidRPr="00910C05" w:rsidRDefault="00910C05" w:rsidP="00910C05">
            <w:pPr>
              <w:spacing w:after="0"/>
              <w:rPr>
                <w:rFonts w:eastAsiaTheme="majorEastAsia" w:cs="Calibri"/>
                <w:szCs w:val="24"/>
                <w:lang w:val="en-US"/>
              </w:rPr>
            </w:pPr>
            <w:r w:rsidRPr="00910C05">
              <w:rPr>
                <w:rFonts w:eastAsiaTheme="majorEastAsia" w:cs="Calibri"/>
                <w:szCs w:val="24"/>
                <w:lang w:val="en-US"/>
              </w:rPr>
              <w:t xml:space="preserve">The internal funding consists of a fixed part and a variable part depending on the number of Ph.D. students graduated and to a lesser extent on the number of publications. The variation in internal research funding is mainly related to the variation in the number of Ph.D.s graduated. </w:t>
            </w:r>
          </w:p>
          <w:p w14:paraId="2C81F7A2" w14:textId="77777777" w:rsidR="00910C05" w:rsidRPr="00910C05" w:rsidRDefault="00910C05" w:rsidP="00910C05">
            <w:pPr>
              <w:spacing w:after="0"/>
              <w:rPr>
                <w:rFonts w:eastAsiaTheme="majorEastAsia" w:cs="Calibri"/>
                <w:lang w:val="en-US"/>
              </w:rPr>
            </w:pPr>
            <w:r w:rsidRPr="00910C05">
              <w:rPr>
                <w:rFonts w:eastAsiaTheme="majorEastAsia" w:cs="Calibri"/>
                <w:lang w:val="en-US"/>
              </w:rPr>
              <w:t xml:space="preserve">The main sources of external funding are the EU and the Swedish Energy Agency. A clear trend can be seen since the last RAE in 2012: In the years 2012 to 2014, the largest contributions came from EU, while in the years 2015 to 2019, the Swedish energy Agency was the main financer. The funding from these two sources has varied between 75% and 90% of the total external funding since 2012. During four of the last five years, the Swedish Energy Agency has contributed with 49% or more of the external funding, indicating the strong dependence of the department on this single source. The Agency’s research agenda is to a large extent the result of political decisions. This means that the number of calls in a certain area may change with relatively short notice. Since the last RAE in 2012, it has become increasingly difficult to get funding for research related to steam and gas-turbine technology, as this is deemed less critical for transforming the energy system to rely on renewable energy. It would be advisable for the Department to try to be less dependent on specific research programs within the Energy Agency, thereby reducing the risk of sudden changes in the overall external funding. Other alternative national funding bodies are Vinnova, the innovation agency, and Formas, the research council for sustainable development. Both these agencies are typically among the five top sources of external funding. </w:t>
            </w:r>
          </w:p>
          <w:p w14:paraId="1105D194" w14:textId="77777777" w:rsidR="00910C05" w:rsidRPr="00910C05" w:rsidRDefault="00910C05" w:rsidP="00910C05">
            <w:pPr>
              <w:spacing w:after="0"/>
              <w:rPr>
                <w:rFonts w:eastAsiaTheme="majorEastAsia" w:cs="Calibri"/>
                <w:szCs w:val="24"/>
                <w:lang w:val="en-US"/>
              </w:rPr>
            </w:pPr>
            <w:r w:rsidRPr="00910C05">
              <w:rPr>
                <w:rFonts w:eastAsiaTheme="majorEastAsia" w:cs="Calibri"/>
                <w:szCs w:val="24"/>
                <w:lang w:val="en-US"/>
              </w:rPr>
              <w:t xml:space="preserve">The Energy Agency and Formas finance applied research important for the transition of the energy system. Many fundamental research questions important for this transition is difficult to get funding from these sources. On the other hand, the Swedish Research </w:t>
            </w:r>
            <w:r w:rsidRPr="00910C05">
              <w:rPr>
                <w:rFonts w:eastAsiaTheme="majorEastAsia" w:cs="Calibri"/>
                <w:szCs w:val="24"/>
                <w:lang w:val="en-US"/>
              </w:rPr>
              <w:lastRenderedPageBreak/>
              <w:t xml:space="preserve">Council which finances fundamental research usually considers the research applications from the Department as being too applied. This gap in financing possibilities is a problem for developing high quality research. </w:t>
            </w:r>
          </w:p>
          <w:p w14:paraId="2745D86F" w14:textId="77777777" w:rsidR="00910C05" w:rsidRPr="00910C05" w:rsidRDefault="00910C05" w:rsidP="00910C05">
            <w:pPr>
              <w:spacing w:after="0"/>
              <w:rPr>
                <w:rFonts w:eastAsiaTheme="majorEastAsia" w:cs="Calibri"/>
                <w:lang w:val="en-US"/>
              </w:rPr>
            </w:pPr>
            <w:r w:rsidRPr="00910C05">
              <w:rPr>
                <w:rFonts w:eastAsiaTheme="majorEastAsia" w:cs="Calibri"/>
                <w:lang w:val="en-US"/>
              </w:rPr>
              <w:t xml:space="preserve">Most external research funding is given for a limited time of no more than three years. As the Ph.D. education is a four year program, this means that funding for the complete period of a Ph.D. can not be covered within one funding period. As a second funding within the same area cannot be guaranteed, financing of the Ph.D. student may arise when the first project ends. </w:t>
            </w:r>
          </w:p>
          <w:p w14:paraId="3D8CE09C" w14:textId="77777777" w:rsidR="00910C05" w:rsidRPr="00910C05" w:rsidRDefault="00910C05" w:rsidP="00910C05">
            <w:pPr>
              <w:spacing w:after="0"/>
              <w:rPr>
                <w:rFonts w:eastAsiaTheme="majorEastAsia" w:cs="Calibri"/>
                <w:szCs w:val="24"/>
                <w:lang w:val="en-US"/>
              </w:rPr>
            </w:pPr>
            <w:r w:rsidRPr="00910C05">
              <w:rPr>
                <w:rFonts w:eastAsiaTheme="majorEastAsia" w:cs="Calibri"/>
                <w:szCs w:val="24"/>
                <w:lang w:val="en-US"/>
              </w:rPr>
              <w:t xml:space="preserve">It should be noted that the internal research funding rarely is sufficient to run complete Ph.D. projects. This funding is typically used to cover the salaries for Ph.D. students who have not been able to finalize their studies within the time period of an externally financed project, or to allow the senior researchers to write applications or do minor research tasks e.g. together with M.Sc. students. </w:t>
            </w:r>
          </w:p>
          <w:p w14:paraId="609182AF" w14:textId="77777777" w:rsidR="00910C05" w:rsidRPr="00910C05" w:rsidRDefault="00910C05" w:rsidP="00910C05">
            <w:pPr>
              <w:spacing w:after="0"/>
              <w:rPr>
                <w:rFonts w:eastAsiaTheme="majorEastAsia" w:cs="Calibri"/>
                <w:lang w:val="en-US"/>
              </w:rPr>
            </w:pPr>
          </w:p>
          <w:p w14:paraId="494F4E63" w14:textId="77777777" w:rsidR="00910C05" w:rsidRPr="00910C05" w:rsidRDefault="00910C05" w:rsidP="00910C05">
            <w:pPr>
              <w:spacing w:after="120"/>
              <w:rPr>
                <w:rFonts w:eastAsiaTheme="majorEastAsia" w:cs="Calibri"/>
                <w:szCs w:val="24"/>
                <w:lang w:val="en-US"/>
              </w:rPr>
            </w:pPr>
            <w:r w:rsidRPr="00910C05">
              <w:rPr>
                <w:rFonts w:eastAsiaTheme="majorEastAsia" w:cs="Calibri"/>
                <w:b/>
                <w:szCs w:val="24"/>
                <w:lang w:val="en-US"/>
              </w:rPr>
              <w:t>b.</w:t>
            </w:r>
            <w:r w:rsidRPr="00910C05">
              <w:rPr>
                <w:rFonts w:eastAsiaTheme="majorEastAsia" w:cs="Calibri"/>
                <w:szCs w:val="24"/>
                <w:lang w:val="en-US"/>
              </w:rPr>
              <w:t xml:space="preserve"> </w:t>
            </w:r>
            <w:r w:rsidRPr="00910C05">
              <w:rPr>
                <w:rFonts w:eastAsia="Times New Roman" w:cs="Calibri"/>
                <w:i/>
                <w:szCs w:val="24"/>
                <w:lang w:val="en-US"/>
              </w:rPr>
              <w:t>Academic culture</w:t>
            </w:r>
            <w:r w:rsidRPr="00910C05">
              <w:rPr>
                <w:rFonts w:eastAsiaTheme="majorEastAsia" w:cs="Calibri"/>
                <w:i/>
                <w:szCs w:val="24"/>
                <w:lang w:val="en-US"/>
              </w:rPr>
              <w:t xml:space="preserve"> </w:t>
            </w:r>
          </w:p>
          <w:p w14:paraId="027F0B81" w14:textId="77777777" w:rsidR="00910C05" w:rsidRPr="00910C05" w:rsidRDefault="00910C05" w:rsidP="00910C05">
            <w:pPr>
              <w:spacing w:after="0"/>
              <w:rPr>
                <w:rFonts w:cs="Calibri"/>
                <w:szCs w:val="24"/>
              </w:rPr>
            </w:pPr>
            <w:r w:rsidRPr="00910C05">
              <w:rPr>
                <w:rFonts w:eastAsia="Georgia" w:cs="Calibri"/>
                <w:szCs w:val="24"/>
                <w:lang w:val="en-US"/>
              </w:rPr>
              <w:t xml:space="preserve">Most research at EGI involves PhD students with each research activity organized into a team of main supervisor, co-supervisor(s), and PhD student. Within the team the supervisory work is usually divided among main supervisor and co-supervisor, with the latter often an early-career researcher. Occasionally co-supervisors from partner universities or industry are involved. Only a handful of industrial PhD students were enrolled during the period 2012-2018, although there is an expectation that the relative number will increase in coming years. There is a variation in the level of interaction of these core teams with one another. In some cases the PhD student does not collaborate directly with other colleagues, while in other circumstances several PhD students form a larger team that addresses a broad research topic. The majority of projects are conducted with industry, with reference groups and other arrangements made to ensure knowledge transfer. Many projects involve national or international partners organized in consortia, which ensures regular meetings and good interaction. EGI researchers and PhD students are active in international conferences, most notably ASME Power, ASME TurboExpo, ECOS, SolarPaces, ISES Solar World, International Symposium on District Heating and Cooling, Eurotherm, IEEE Conference on Control Technology and Applications, IIR Gustav Lorentzen...Natural Working Fluids Conference, etc. Typically PhD students participate in at least two international conferences during their study periods. Conference participation among researchers is moderate to high, with higher frequency shown for early-career faculty and staff. Internal seminars and presentations are important components of EGI’s academic culture. PhD students hold mid-term and final seminars in addition to the final defense. The seminars involve faculty members across the department, providing a range of feedback to the PhD student and fostering knowledge dissemination. MSc students present their work in organized sessions, a change implemented in 2018 in order to increase participation and increase awareness among supervisors and examiners. Historically the department’s three divisions, and in some cases sub-groups within the divisions, have had various arrangements for regular meetings to discuss ongoing research. More recently EGI has organized two to four seminars per month intended for all faculty and PhD students. Career guidance is provided to all researchers via yearly performance reviews, with more frequent feedback supplied to early career researchers (postdoctors and assistant professors). The management team has a good understanding of the KTH </w:t>
            </w:r>
            <w:r w:rsidRPr="00910C05">
              <w:rPr>
                <w:rFonts w:eastAsia="Georgia" w:cs="Calibri"/>
                <w:szCs w:val="24"/>
                <w:lang w:val="en-US"/>
              </w:rPr>
              <w:lastRenderedPageBreak/>
              <w:t>Tenure Track system and can provide concrete guidance to involved faculty members. (ITM organizes mentoring for assistant and associate professors under the direction of the vice-dean for future faculty.)</w:t>
            </w:r>
          </w:p>
          <w:p w14:paraId="5EE8F7AD" w14:textId="77777777" w:rsidR="00910C05" w:rsidRPr="00910C05" w:rsidRDefault="00910C05" w:rsidP="00910C05">
            <w:pPr>
              <w:spacing w:after="0"/>
              <w:rPr>
                <w:rFonts w:cs="Calibri"/>
                <w:szCs w:val="24"/>
              </w:rPr>
            </w:pPr>
            <w:r w:rsidRPr="00910C05">
              <w:rPr>
                <w:rFonts w:eastAsia="Georgia" w:cs="Calibri"/>
                <w:szCs w:val="24"/>
                <w:lang w:val="en-US"/>
              </w:rPr>
              <w:t>Despite these efforts EGI researchers are not completely satisfied with the academic culture, in particular the inability to prioritize both organized and serendipitous collegial interactions. The following challenges have been recognized as obstacles towards achieving a fully flourishing academic culture (see SWOT analysis for more information):</w:t>
            </w:r>
          </w:p>
          <w:p w14:paraId="2A72A14F" w14:textId="77777777" w:rsidR="00910C05" w:rsidRPr="00910C05" w:rsidRDefault="00910C05" w:rsidP="003A09D8">
            <w:pPr>
              <w:numPr>
                <w:ilvl w:val="0"/>
                <w:numId w:val="18"/>
              </w:numPr>
              <w:spacing w:after="0"/>
              <w:contextualSpacing/>
              <w:rPr>
                <w:rFonts w:eastAsiaTheme="minorEastAsia" w:cs="Calibri"/>
                <w:szCs w:val="24"/>
                <w:lang w:val="en-US" w:eastAsia="sv-SE"/>
              </w:rPr>
            </w:pPr>
            <w:r w:rsidRPr="00910C05">
              <w:rPr>
                <w:rFonts w:eastAsia="Georgia" w:cs="Calibri"/>
                <w:szCs w:val="24"/>
                <w:lang w:val="en-US" w:eastAsia="sv-SE"/>
              </w:rPr>
              <w:t>Faculty and staff turnover during 2015-2018 placed a higher workload for certain main supervisors than was originally anticipated. The result was a narrowed scope for collaboration outside the core team.</w:t>
            </w:r>
          </w:p>
          <w:p w14:paraId="0AA32F0A" w14:textId="77777777" w:rsidR="00910C05" w:rsidRPr="00910C05" w:rsidRDefault="00910C05" w:rsidP="003A09D8">
            <w:pPr>
              <w:numPr>
                <w:ilvl w:val="0"/>
                <w:numId w:val="18"/>
              </w:numPr>
              <w:spacing w:after="0"/>
              <w:contextualSpacing/>
              <w:rPr>
                <w:rFonts w:eastAsiaTheme="minorEastAsia" w:cs="Calibri"/>
                <w:szCs w:val="24"/>
                <w:lang w:val="en-US" w:eastAsia="sv-SE"/>
              </w:rPr>
            </w:pPr>
            <w:r w:rsidRPr="00910C05">
              <w:rPr>
                <w:rFonts w:eastAsia="Georgia" w:cs="Calibri"/>
                <w:szCs w:val="24"/>
                <w:lang w:val="en-US" w:eastAsia="sv-SE"/>
              </w:rPr>
              <w:t>Maintaining the level of interest for seminars and presentations outside immediate project activities at department level has been a struggle. Low level of participation is common.</w:t>
            </w:r>
          </w:p>
          <w:p w14:paraId="31505638" w14:textId="77777777" w:rsidR="00910C05" w:rsidRPr="00910C05" w:rsidRDefault="00910C05" w:rsidP="003A09D8">
            <w:pPr>
              <w:numPr>
                <w:ilvl w:val="0"/>
                <w:numId w:val="18"/>
              </w:numPr>
              <w:spacing w:after="0"/>
              <w:contextualSpacing/>
              <w:rPr>
                <w:rFonts w:eastAsiaTheme="minorEastAsia" w:cs="Calibri"/>
                <w:szCs w:val="24"/>
                <w:lang w:val="en-US" w:eastAsia="sv-SE"/>
              </w:rPr>
            </w:pPr>
            <w:r w:rsidRPr="00910C05">
              <w:rPr>
                <w:rFonts w:eastAsia="Georgia" w:cs="Calibri"/>
                <w:szCs w:val="24"/>
                <w:lang w:val="en-US" w:eastAsia="sv-SE"/>
              </w:rPr>
              <w:t>There is a lack of coordination in supporting lab and workshop organization, and in the development and implementation of common modeling tools. This fragmentation hinders the generation of new and fresh approaches.</w:t>
            </w:r>
          </w:p>
          <w:p w14:paraId="72087609" w14:textId="77777777" w:rsidR="00910C05" w:rsidRPr="00910C05" w:rsidRDefault="00910C05" w:rsidP="003A09D8">
            <w:pPr>
              <w:numPr>
                <w:ilvl w:val="0"/>
                <w:numId w:val="18"/>
              </w:numPr>
              <w:spacing w:after="0"/>
              <w:contextualSpacing/>
              <w:rPr>
                <w:rFonts w:eastAsiaTheme="minorEastAsia" w:cs="Calibri"/>
                <w:szCs w:val="24"/>
                <w:lang w:val="en-US" w:eastAsia="sv-SE"/>
              </w:rPr>
            </w:pPr>
            <w:r w:rsidRPr="00910C05">
              <w:rPr>
                <w:rFonts w:eastAsia="Georgia" w:cs="Calibri"/>
                <w:szCs w:val="24"/>
                <w:lang w:val="en-US" w:eastAsia="sv-SE"/>
              </w:rPr>
              <w:t>Lack of coordination in identifying relevant calls for proposals and in addressing them at department level. In some cases this has meant that researchers submitted proposals without knowing about colleagues’ activities, opening up the risk for internal competition.</w:t>
            </w:r>
          </w:p>
          <w:p w14:paraId="49A5335A" w14:textId="77777777" w:rsidR="00910C05" w:rsidRPr="00910C05" w:rsidRDefault="00910C05" w:rsidP="003A09D8">
            <w:pPr>
              <w:numPr>
                <w:ilvl w:val="0"/>
                <w:numId w:val="18"/>
              </w:numPr>
              <w:spacing w:after="0"/>
              <w:contextualSpacing/>
              <w:rPr>
                <w:rFonts w:eastAsiaTheme="minorEastAsia" w:cs="Calibri"/>
                <w:szCs w:val="24"/>
                <w:lang w:val="en-US" w:eastAsia="sv-SE"/>
              </w:rPr>
            </w:pPr>
            <w:r w:rsidRPr="00910C05">
              <w:rPr>
                <w:rFonts w:eastAsia="Georgia" w:cs="Calibri"/>
                <w:szCs w:val="24"/>
                <w:lang w:val="en-US" w:eastAsia="sv-SE"/>
              </w:rPr>
              <w:t>Data sharing and establishment of databases is sporadic and could be improved.</w:t>
            </w:r>
          </w:p>
          <w:p w14:paraId="61AFD5BD" w14:textId="77777777" w:rsidR="00910C05" w:rsidRPr="00910C05" w:rsidRDefault="00910C05" w:rsidP="00910C05">
            <w:pPr>
              <w:spacing w:after="0"/>
              <w:rPr>
                <w:rFonts w:eastAsiaTheme="majorEastAsia" w:cs="Calibri"/>
                <w:szCs w:val="24"/>
                <w:lang w:val="en-US"/>
              </w:rPr>
            </w:pPr>
          </w:p>
          <w:p w14:paraId="31A7AFE4" w14:textId="77777777" w:rsidR="00910C05" w:rsidRPr="00910C05" w:rsidRDefault="00910C05" w:rsidP="00910C05">
            <w:pPr>
              <w:spacing w:after="120"/>
              <w:rPr>
                <w:rFonts w:eastAsiaTheme="majorEastAsia" w:cs="Calibri"/>
                <w:i/>
                <w:color w:val="000000" w:themeColor="text1"/>
                <w:szCs w:val="24"/>
              </w:rPr>
            </w:pPr>
            <w:r w:rsidRPr="00910C05">
              <w:rPr>
                <w:rFonts w:eastAsiaTheme="majorEastAsia" w:cs="Calibri"/>
                <w:b/>
                <w:bCs/>
              </w:rPr>
              <w:t>c.</w:t>
            </w:r>
            <w:r w:rsidRPr="00910C05">
              <w:rPr>
                <w:rFonts w:eastAsiaTheme="majorEastAsia" w:cs="Calibri"/>
              </w:rPr>
              <w:t xml:space="preserve"> </w:t>
            </w:r>
            <w:r w:rsidRPr="00910C05">
              <w:rPr>
                <w:rFonts w:eastAsiaTheme="majorEastAsia" w:cs="Calibri"/>
                <w:i/>
                <w:iCs/>
              </w:rPr>
              <w:t xml:space="preserve">Current </w:t>
            </w:r>
            <w:r w:rsidRPr="00910C05">
              <w:rPr>
                <w:rFonts w:eastAsiaTheme="majorEastAsia" w:cs="Calibri"/>
                <w:i/>
                <w:iCs/>
                <w:color w:val="000000" w:themeColor="text1"/>
              </w:rPr>
              <w:t xml:space="preserve">faculty situation </w:t>
            </w:r>
          </w:p>
          <w:p w14:paraId="09139DD1" w14:textId="77777777" w:rsidR="00910C05" w:rsidRPr="00910C05" w:rsidRDefault="00910C05" w:rsidP="00910C05">
            <w:pPr>
              <w:spacing w:after="0"/>
              <w:rPr>
                <w:rFonts w:eastAsiaTheme="majorEastAsia" w:cs="Calibri"/>
                <w:szCs w:val="24"/>
              </w:rPr>
            </w:pPr>
            <w:r w:rsidRPr="00910C05">
              <w:rPr>
                <w:rFonts w:eastAsiaTheme="majorEastAsia" w:cs="Calibri"/>
                <w:szCs w:val="24"/>
              </w:rPr>
              <w:t>Moving into 2020, we have the following faculty situation with respect to gender and age:</w:t>
            </w:r>
          </w:p>
          <w:p w14:paraId="509A0230" w14:textId="77777777" w:rsidR="00910C05" w:rsidRPr="00910C05" w:rsidRDefault="00910C05" w:rsidP="00910C05">
            <w:pPr>
              <w:spacing w:after="0"/>
              <w:rPr>
                <w:rFonts w:eastAsiaTheme="majorEastAsia" w:cs="Calibri"/>
                <w:szCs w:val="24"/>
              </w:rPr>
            </w:pPr>
          </w:p>
          <w:tbl>
            <w:tblPr>
              <w:tblStyle w:val="TableGrid1"/>
              <w:tblW w:w="0" w:type="auto"/>
              <w:tblLook w:val="04A0" w:firstRow="1" w:lastRow="0" w:firstColumn="1" w:lastColumn="0" w:noHBand="0" w:noVBand="1"/>
            </w:tblPr>
            <w:tblGrid>
              <w:gridCol w:w="1757"/>
              <w:gridCol w:w="710"/>
              <w:gridCol w:w="984"/>
              <w:gridCol w:w="999"/>
              <w:gridCol w:w="1276"/>
              <w:gridCol w:w="1276"/>
              <w:gridCol w:w="1275"/>
            </w:tblGrid>
            <w:tr w:rsidR="00910C05" w:rsidRPr="00910C05" w14:paraId="12C329E6" w14:textId="77777777" w:rsidTr="00D874A5">
              <w:tc>
                <w:tcPr>
                  <w:tcW w:w="1757" w:type="dxa"/>
                </w:tcPr>
                <w:p w14:paraId="3F52CC2C" w14:textId="77777777" w:rsidR="00910C05" w:rsidRPr="00910C05" w:rsidRDefault="00910C05" w:rsidP="00910C05">
                  <w:pPr>
                    <w:spacing w:after="0"/>
                    <w:rPr>
                      <w:rFonts w:eastAsiaTheme="majorEastAsia" w:cs="Calibri"/>
                      <w:szCs w:val="24"/>
                    </w:rPr>
                  </w:pPr>
                  <w:r w:rsidRPr="00910C05">
                    <w:rPr>
                      <w:rFonts w:eastAsiaTheme="majorEastAsia" w:cs="Calibri"/>
                      <w:szCs w:val="24"/>
                    </w:rPr>
                    <w:t>Career Position</w:t>
                  </w:r>
                </w:p>
              </w:tc>
              <w:tc>
                <w:tcPr>
                  <w:tcW w:w="710" w:type="dxa"/>
                </w:tcPr>
                <w:p w14:paraId="666F7A91"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Total</w:t>
                  </w:r>
                </w:p>
              </w:tc>
              <w:tc>
                <w:tcPr>
                  <w:tcW w:w="984" w:type="dxa"/>
                </w:tcPr>
                <w:p w14:paraId="5DBDEA8F"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Of which females</w:t>
                  </w:r>
                </w:p>
              </w:tc>
              <w:tc>
                <w:tcPr>
                  <w:tcW w:w="999" w:type="dxa"/>
                </w:tcPr>
                <w:p w14:paraId="59DC60A4"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Age 60+</w:t>
                  </w:r>
                </w:p>
              </w:tc>
              <w:tc>
                <w:tcPr>
                  <w:tcW w:w="1276" w:type="dxa"/>
                </w:tcPr>
                <w:p w14:paraId="7674549B"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Age 50-60</w:t>
                  </w:r>
                </w:p>
              </w:tc>
              <w:tc>
                <w:tcPr>
                  <w:tcW w:w="1276" w:type="dxa"/>
                </w:tcPr>
                <w:p w14:paraId="67DEC720"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Age 40-50</w:t>
                  </w:r>
                </w:p>
              </w:tc>
              <w:tc>
                <w:tcPr>
                  <w:tcW w:w="1275" w:type="dxa"/>
                </w:tcPr>
                <w:p w14:paraId="688A0A89"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Age 30-40</w:t>
                  </w:r>
                </w:p>
              </w:tc>
            </w:tr>
            <w:tr w:rsidR="00910C05" w:rsidRPr="00910C05" w14:paraId="12FEFCA2" w14:textId="77777777" w:rsidTr="00D874A5">
              <w:tc>
                <w:tcPr>
                  <w:tcW w:w="1757" w:type="dxa"/>
                </w:tcPr>
                <w:p w14:paraId="642B2742" w14:textId="77777777" w:rsidR="00910C05" w:rsidRPr="00910C05" w:rsidRDefault="00910C05" w:rsidP="00910C05">
                  <w:pPr>
                    <w:spacing w:after="0"/>
                    <w:rPr>
                      <w:rFonts w:eastAsiaTheme="majorEastAsia" w:cs="Calibri"/>
                      <w:szCs w:val="24"/>
                    </w:rPr>
                  </w:pPr>
                  <w:r w:rsidRPr="00910C05">
                    <w:rPr>
                      <w:rFonts w:eastAsiaTheme="majorEastAsia" w:cs="Calibri"/>
                      <w:szCs w:val="24"/>
                    </w:rPr>
                    <w:t>Professor</w:t>
                  </w:r>
                </w:p>
              </w:tc>
              <w:tc>
                <w:tcPr>
                  <w:tcW w:w="710" w:type="dxa"/>
                </w:tcPr>
                <w:p w14:paraId="668DEC7C"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7</w:t>
                  </w:r>
                </w:p>
              </w:tc>
              <w:tc>
                <w:tcPr>
                  <w:tcW w:w="984" w:type="dxa"/>
                </w:tcPr>
                <w:p w14:paraId="6DB64542"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2</w:t>
                  </w:r>
                </w:p>
              </w:tc>
              <w:tc>
                <w:tcPr>
                  <w:tcW w:w="999" w:type="dxa"/>
                </w:tcPr>
                <w:p w14:paraId="048BEA9E"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3</w:t>
                  </w:r>
                </w:p>
              </w:tc>
              <w:tc>
                <w:tcPr>
                  <w:tcW w:w="1276" w:type="dxa"/>
                </w:tcPr>
                <w:p w14:paraId="06B469C5"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3</w:t>
                  </w:r>
                </w:p>
              </w:tc>
              <w:tc>
                <w:tcPr>
                  <w:tcW w:w="1276" w:type="dxa"/>
                </w:tcPr>
                <w:p w14:paraId="524A7126"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1</w:t>
                  </w:r>
                </w:p>
              </w:tc>
              <w:tc>
                <w:tcPr>
                  <w:tcW w:w="1275" w:type="dxa"/>
                </w:tcPr>
                <w:p w14:paraId="0CE39CB1"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0</w:t>
                  </w:r>
                </w:p>
              </w:tc>
            </w:tr>
            <w:tr w:rsidR="00910C05" w:rsidRPr="00910C05" w14:paraId="7415F6E9" w14:textId="77777777" w:rsidTr="00D874A5">
              <w:tc>
                <w:tcPr>
                  <w:tcW w:w="1757" w:type="dxa"/>
                </w:tcPr>
                <w:p w14:paraId="5B2E8D85" w14:textId="77777777" w:rsidR="00910C05" w:rsidRPr="00910C05" w:rsidRDefault="00910C05" w:rsidP="00910C05">
                  <w:pPr>
                    <w:spacing w:after="0"/>
                    <w:rPr>
                      <w:rFonts w:eastAsiaTheme="majorEastAsia" w:cs="Calibri"/>
                      <w:szCs w:val="24"/>
                    </w:rPr>
                  </w:pPr>
                  <w:r w:rsidRPr="00910C05">
                    <w:rPr>
                      <w:rFonts w:eastAsiaTheme="majorEastAsia" w:cs="Calibri"/>
                      <w:szCs w:val="24"/>
                    </w:rPr>
                    <w:t>Associate Prof</w:t>
                  </w:r>
                </w:p>
              </w:tc>
              <w:tc>
                <w:tcPr>
                  <w:tcW w:w="710" w:type="dxa"/>
                </w:tcPr>
                <w:p w14:paraId="23F809C6"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7</w:t>
                  </w:r>
                </w:p>
              </w:tc>
              <w:tc>
                <w:tcPr>
                  <w:tcW w:w="984" w:type="dxa"/>
                </w:tcPr>
                <w:p w14:paraId="7D9BBE54"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0</w:t>
                  </w:r>
                </w:p>
              </w:tc>
              <w:tc>
                <w:tcPr>
                  <w:tcW w:w="999" w:type="dxa"/>
                </w:tcPr>
                <w:p w14:paraId="5AE18EB4"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1</w:t>
                  </w:r>
                </w:p>
              </w:tc>
              <w:tc>
                <w:tcPr>
                  <w:tcW w:w="1276" w:type="dxa"/>
                </w:tcPr>
                <w:p w14:paraId="1A2C88B4"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3</w:t>
                  </w:r>
                </w:p>
              </w:tc>
              <w:tc>
                <w:tcPr>
                  <w:tcW w:w="1276" w:type="dxa"/>
                </w:tcPr>
                <w:p w14:paraId="398517CA"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3</w:t>
                  </w:r>
                </w:p>
              </w:tc>
              <w:tc>
                <w:tcPr>
                  <w:tcW w:w="1275" w:type="dxa"/>
                </w:tcPr>
                <w:p w14:paraId="41EE7547" w14:textId="77777777" w:rsidR="00910C05" w:rsidRPr="00910C05" w:rsidRDefault="00910C05" w:rsidP="00910C05">
                  <w:pPr>
                    <w:spacing w:after="0"/>
                    <w:jc w:val="center"/>
                    <w:rPr>
                      <w:rFonts w:eastAsiaTheme="majorEastAsia" w:cs="Calibri"/>
                      <w:szCs w:val="24"/>
                    </w:rPr>
                  </w:pPr>
                </w:p>
              </w:tc>
            </w:tr>
            <w:tr w:rsidR="00910C05" w:rsidRPr="00910C05" w14:paraId="614CE239" w14:textId="77777777" w:rsidTr="00D874A5">
              <w:tc>
                <w:tcPr>
                  <w:tcW w:w="1757" w:type="dxa"/>
                </w:tcPr>
                <w:p w14:paraId="09AE4BD9" w14:textId="77777777" w:rsidR="00910C05" w:rsidRPr="00910C05" w:rsidRDefault="00910C05" w:rsidP="00910C05">
                  <w:pPr>
                    <w:spacing w:after="0"/>
                    <w:rPr>
                      <w:rFonts w:eastAsiaTheme="majorEastAsia" w:cs="Calibri"/>
                      <w:szCs w:val="24"/>
                    </w:rPr>
                  </w:pPr>
                  <w:r w:rsidRPr="00910C05">
                    <w:rPr>
                      <w:rFonts w:eastAsiaTheme="majorEastAsia" w:cs="Calibri"/>
                      <w:szCs w:val="24"/>
                    </w:rPr>
                    <w:t>Assistant Prof</w:t>
                  </w:r>
                </w:p>
              </w:tc>
              <w:tc>
                <w:tcPr>
                  <w:tcW w:w="710" w:type="dxa"/>
                </w:tcPr>
                <w:p w14:paraId="7EA07967"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4</w:t>
                  </w:r>
                </w:p>
              </w:tc>
              <w:tc>
                <w:tcPr>
                  <w:tcW w:w="984" w:type="dxa"/>
                </w:tcPr>
                <w:p w14:paraId="6D5E5FBF"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0</w:t>
                  </w:r>
                </w:p>
              </w:tc>
              <w:tc>
                <w:tcPr>
                  <w:tcW w:w="999" w:type="dxa"/>
                </w:tcPr>
                <w:p w14:paraId="588C21FD" w14:textId="77777777" w:rsidR="00910C05" w:rsidRPr="00910C05" w:rsidRDefault="00910C05" w:rsidP="00910C05">
                  <w:pPr>
                    <w:spacing w:after="0"/>
                    <w:jc w:val="center"/>
                    <w:rPr>
                      <w:rFonts w:eastAsiaTheme="majorEastAsia" w:cs="Calibri"/>
                      <w:szCs w:val="24"/>
                    </w:rPr>
                  </w:pPr>
                </w:p>
              </w:tc>
              <w:tc>
                <w:tcPr>
                  <w:tcW w:w="1276" w:type="dxa"/>
                </w:tcPr>
                <w:p w14:paraId="1300CDA4" w14:textId="77777777" w:rsidR="00910C05" w:rsidRPr="00910C05" w:rsidRDefault="00910C05" w:rsidP="00910C05">
                  <w:pPr>
                    <w:spacing w:after="0"/>
                    <w:jc w:val="center"/>
                    <w:rPr>
                      <w:rFonts w:eastAsiaTheme="majorEastAsia" w:cs="Calibri"/>
                      <w:szCs w:val="24"/>
                    </w:rPr>
                  </w:pPr>
                </w:p>
              </w:tc>
              <w:tc>
                <w:tcPr>
                  <w:tcW w:w="1276" w:type="dxa"/>
                </w:tcPr>
                <w:p w14:paraId="20DDC12E"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1</w:t>
                  </w:r>
                </w:p>
              </w:tc>
              <w:tc>
                <w:tcPr>
                  <w:tcW w:w="1275" w:type="dxa"/>
                </w:tcPr>
                <w:p w14:paraId="7648C8D1" w14:textId="77777777" w:rsidR="00910C05" w:rsidRPr="00910C05" w:rsidRDefault="00910C05" w:rsidP="00910C05">
                  <w:pPr>
                    <w:spacing w:after="0"/>
                    <w:jc w:val="center"/>
                    <w:rPr>
                      <w:rFonts w:eastAsiaTheme="majorEastAsia" w:cs="Calibri"/>
                      <w:szCs w:val="24"/>
                    </w:rPr>
                  </w:pPr>
                  <w:r w:rsidRPr="00910C05">
                    <w:rPr>
                      <w:rFonts w:eastAsiaTheme="majorEastAsia" w:cs="Calibri"/>
                      <w:szCs w:val="24"/>
                    </w:rPr>
                    <w:t>3</w:t>
                  </w:r>
                </w:p>
              </w:tc>
            </w:tr>
          </w:tbl>
          <w:p w14:paraId="5D8F9EEA" w14:textId="77777777" w:rsidR="00910C05" w:rsidRPr="00910C05" w:rsidRDefault="00910C05" w:rsidP="00910C05">
            <w:pPr>
              <w:spacing w:after="0"/>
              <w:rPr>
                <w:rFonts w:eastAsiaTheme="majorEastAsia" w:cs="Calibri"/>
                <w:szCs w:val="24"/>
              </w:rPr>
            </w:pPr>
          </w:p>
          <w:p w14:paraId="69D05AA9" w14:textId="77777777" w:rsidR="00910C05" w:rsidRPr="00910C05" w:rsidRDefault="00910C05" w:rsidP="00910C05">
            <w:pPr>
              <w:spacing w:after="0"/>
              <w:rPr>
                <w:rFonts w:eastAsiaTheme="majorEastAsia" w:cs="Calibri"/>
              </w:rPr>
            </w:pPr>
            <w:r w:rsidRPr="00910C05">
              <w:rPr>
                <w:rFonts w:eastAsiaTheme="majorEastAsia" w:cs="Calibri"/>
              </w:rPr>
              <w:t>The low number of female faculty speak for themselves in that we have not been successful to attract talent to the department, to the extent that we also get female faculty on board – only 10% women. Also, it is quite evident that the age structure is not balanced, and we do have a need for recruiting young faculty for the future.</w:t>
            </w:r>
          </w:p>
          <w:p w14:paraId="7932F58F" w14:textId="77777777" w:rsidR="00910C05" w:rsidRPr="00910C05" w:rsidRDefault="00910C05" w:rsidP="00910C05">
            <w:pPr>
              <w:spacing w:after="0"/>
              <w:rPr>
                <w:rFonts w:eastAsiaTheme="majorEastAsia" w:cs="Calibri"/>
                <w:szCs w:val="24"/>
              </w:rPr>
            </w:pPr>
          </w:p>
          <w:p w14:paraId="33036BEE" w14:textId="77777777" w:rsidR="00910C05" w:rsidRPr="00910C05" w:rsidRDefault="00910C05" w:rsidP="00910C05">
            <w:pPr>
              <w:spacing w:after="0"/>
              <w:rPr>
                <w:rFonts w:eastAsiaTheme="majorEastAsia" w:cs="Calibri"/>
                <w:szCs w:val="24"/>
              </w:rPr>
            </w:pPr>
            <w:r w:rsidRPr="00910C05">
              <w:rPr>
                <w:rFonts w:eastAsiaTheme="majorEastAsia" w:cs="Calibri"/>
                <w:szCs w:val="24"/>
              </w:rPr>
              <w:t>In addition to the above faculty, we do have several researchers and postdocs on board:</w:t>
            </w:r>
          </w:p>
          <w:p w14:paraId="25506267" w14:textId="77777777" w:rsidR="00910C05" w:rsidRPr="00910C05" w:rsidRDefault="00910C05" w:rsidP="003A09D8">
            <w:pPr>
              <w:numPr>
                <w:ilvl w:val="0"/>
                <w:numId w:val="31"/>
              </w:numPr>
              <w:spacing w:after="0"/>
              <w:contextualSpacing/>
              <w:rPr>
                <w:rFonts w:eastAsiaTheme="majorEastAsia" w:cs="Calibri"/>
                <w:szCs w:val="24"/>
                <w:lang w:val="sv-SE" w:eastAsia="sv-SE"/>
              </w:rPr>
            </w:pPr>
            <w:r w:rsidRPr="00910C05">
              <w:rPr>
                <w:rFonts w:eastAsiaTheme="majorEastAsia" w:cs="Calibri"/>
                <w:szCs w:val="24"/>
                <w:lang w:val="sv-SE" w:eastAsia="sv-SE"/>
              </w:rPr>
              <w:t>researchers: 11, of which 1 woman</w:t>
            </w:r>
          </w:p>
          <w:p w14:paraId="17DBD433" w14:textId="77777777" w:rsidR="00910C05" w:rsidRPr="00910C05" w:rsidRDefault="00910C05" w:rsidP="003A09D8">
            <w:pPr>
              <w:numPr>
                <w:ilvl w:val="0"/>
                <w:numId w:val="31"/>
              </w:numPr>
              <w:spacing w:after="0"/>
              <w:contextualSpacing/>
              <w:rPr>
                <w:rFonts w:eastAsiaTheme="majorEastAsia" w:cs="Calibri"/>
                <w:szCs w:val="24"/>
                <w:lang w:val="sv-SE" w:eastAsia="sv-SE"/>
              </w:rPr>
            </w:pPr>
            <w:r w:rsidRPr="00910C05">
              <w:rPr>
                <w:rFonts w:eastAsiaTheme="majorEastAsia" w:cs="Calibri"/>
                <w:szCs w:val="24"/>
                <w:lang w:val="sv-SE" w:eastAsia="sv-SE"/>
              </w:rPr>
              <w:t>postdocs: 5, of which 4 women</w:t>
            </w:r>
          </w:p>
          <w:p w14:paraId="676866A4" w14:textId="77777777" w:rsidR="00910C05" w:rsidRPr="00910C05" w:rsidRDefault="00910C05" w:rsidP="00910C05">
            <w:pPr>
              <w:spacing w:after="0"/>
              <w:rPr>
                <w:rFonts w:eastAsiaTheme="majorEastAsia" w:cs="Calibri"/>
                <w:szCs w:val="24"/>
              </w:rPr>
            </w:pPr>
          </w:p>
          <w:p w14:paraId="2B3691AC" w14:textId="77777777" w:rsidR="00910C05" w:rsidRPr="00910C05" w:rsidRDefault="00910C05" w:rsidP="00910C05">
            <w:pPr>
              <w:spacing w:after="0"/>
              <w:rPr>
                <w:rFonts w:eastAsiaTheme="majorEastAsia" w:cs="Calibri"/>
                <w:szCs w:val="24"/>
              </w:rPr>
            </w:pPr>
            <w:r w:rsidRPr="00910C05">
              <w:rPr>
                <w:rFonts w:eastAsiaTheme="majorEastAsia" w:cs="Calibri"/>
                <w:szCs w:val="24"/>
              </w:rPr>
              <w:t xml:space="preserve">These numbers improve the gender balance to 20% of all PhD-level researchers involved. It is of fundamental importance that our female researchers involved will </w:t>
            </w:r>
            <w:r w:rsidRPr="00910C05">
              <w:rPr>
                <w:rFonts w:eastAsiaTheme="majorEastAsia" w:cs="Calibri"/>
                <w:szCs w:val="24"/>
              </w:rPr>
              <w:lastRenderedPageBreak/>
              <w:t>have the opportunities to stay on in academia, should they desire to, and that we as a department can offer tenure track positions at entry levels on a continuous basis to attract talent from diverse backgrounds. Here, long-term funding directed towards strategic recruitment must be established.</w:t>
            </w:r>
          </w:p>
          <w:p w14:paraId="677F4322" w14:textId="77777777" w:rsidR="00910C05" w:rsidRPr="00910C05" w:rsidRDefault="00910C05" w:rsidP="00910C05">
            <w:pPr>
              <w:spacing w:after="0"/>
              <w:rPr>
                <w:rFonts w:eastAsiaTheme="majorEastAsia" w:cs="Calibri"/>
                <w:szCs w:val="24"/>
              </w:rPr>
            </w:pPr>
          </w:p>
          <w:p w14:paraId="183F4C6A" w14:textId="77777777" w:rsidR="00910C05" w:rsidRPr="00910C05" w:rsidRDefault="00910C05" w:rsidP="00910C05">
            <w:pPr>
              <w:spacing w:after="0"/>
              <w:rPr>
                <w:rFonts w:eastAsiaTheme="majorEastAsia" w:cs="Calibri"/>
                <w:szCs w:val="24"/>
              </w:rPr>
            </w:pPr>
            <w:r w:rsidRPr="00910C05">
              <w:rPr>
                <w:rFonts w:eastAsiaTheme="majorEastAsia" w:cs="Calibri"/>
                <w:szCs w:val="24"/>
              </w:rPr>
              <w:t xml:space="preserve">Aside from gender, the other structural problem with current faculty is age. We do have the time to act, with strategic recruitment, to compensate from most of our professors and associated professors being 50+. </w:t>
            </w:r>
          </w:p>
          <w:p w14:paraId="4F6348E9" w14:textId="77777777" w:rsidR="00910C05" w:rsidRPr="00910C05" w:rsidRDefault="00910C05" w:rsidP="00910C05">
            <w:pPr>
              <w:spacing w:after="0"/>
              <w:rPr>
                <w:rFonts w:eastAsiaTheme="majorEastAsia" w:cs="Calibri"/>
                <w:szCs w:val="24"/>
              </w:rPr>
            </w:pPr>
          </w:p>
          <w:p w14:paraId="2EF0FAA5" w14:textId="77777777" w:rsidR="00910C05" w:rsidRPr="00910C05" w:rsidRDefault="00910C05" w:rsidP="00910C05">
            <w:pPr>
              <w:spacing w:after="0"/>
              <w:rPr>
                <w:rFonts w:eastAsiaTheme="majorEastAsia" w:cs="Calibri"/>
                <w:szCs w:val="24"/>
              </w:rPr>
            </w:pPr>
          </w:p>
          <w:p w14:paraId="6DCC6A46" w14:textId="77777777" w:rsidR="00910C05" w:rsidRPr="00910C05" w:rsidRDefault="00910C05" w:rsidP="00910C05">
            <w:pPr>
              <w:spacing w:after="120"/>
              <w:rPr>
                <w:rFonts w:eastAsiaTheme="majorEastAsia" w:cs="Calibri"/>
                <w:i/>
                <w:color w:val="FF0000"/>
                <w:szCs w:val="24"/>
              </w:rPr>
            </w:pPr>
            <w:r w:rsidRPr="00910C05">
              <w:rPr>
                <w:rFonts w:eastAsiaTheme="majorEastAsia" w:cs="Calibri"/>
                <w:b/>
                <w:bCs/>
              </w:rPr>
              <w:t>d.</w:t>
            </w:r>
            <w:r w:rsidRPr="00910C05">
              <w:rPr>
                <w:rFonts w:eastAsiaTheme="majorEastAsia" w:cs="Calibri"/>
              </w:rPr>
              <w:t xml:space="preserve"> </w:t>
            </w:r>
            <w:r w:rsidRPr="00910C05">
              <w:rPr>
                <w:rFonts w:eastAsiaTheme="majorEastAsia" w:cs="Calibri"/>
                <w:i/>
                <w:iCs/>
              </w:rPr>
              <w:t xml:space="preserve">Recruitment </w:t>
            </w:r>
            <w:r w:rsidRPr="00910C05">
              <w:rPr>
                <w:rFonts w:eastAsiaTheme="majorEastAsia" w:cs="Calibri"/>
                <w:i/>
                <w:iCs/>
                <w:color w:val="000000" w:themeColor="text1"/>
              </w:rPr>
              <w:t>strategies</w:t>
            </w:r>
          </w:p>
          <w:p w14:paraId="5615F391" w14:textId="77777777" w:rsidR="00910C05" w:rsidRPr="00910C05" w:rsidRDefault="00910C05" w:rsidP="00910C05">
            <w:pPr>
              <w:spacing w:after="0"/>
              <w:rPr>
                <w:rFonts w:cs="Calibri"/>
                <w:iCs/>
                <w:szCs w:val="24"/>
              </w:rPr>
            </w:pPr>
            <w:r w:rsidRPr="00910C05">
              <w:rPr>
                <w:rFonts w:cs="Calibri"/>
                <w:iCs/>
                <w:szCs w:val="24"/>
              </w:rPr>
              <w:t xml:space="preserve">In our recruitment strategies, all position openings, at all levels, are advertised through HR+ prepared advertisement procedures. </w:t>
            </w:r>
          </w:p>
          <w:p w14:paraId="232DF07F" w14:textId="77777777" w:rsidR="00910C05" w:rsidRPr="00910C05" w:rsidRDefault="00910C05" w:rsidP="00910C05">
            <w:pPr>
              <w:spacing w:after="0"/>
              <w:rPr>
                <w:rFonts w:cs="Calibri"/>
                <w:iCs/>
                <w:szCs w:val="24"/>
              </w:rPr>
            </w:pPr>
          </w:p>
          <w:p w14:paraId="3470046A" w14:textId="77777777" w:rsidR="00910C05" w:rsidRPr="00910C05" w:rsidRDefault="00910C05" w:rsidP="00910C05">
            <w:pPr>
              <w:spacing w:after="0"/>
              <w:rPr>
                <w:rFonts w:cs="Calibri"/>
                <w:iCs/>
                <w:szCs w:val="24"/>
              </w:rPr>
            </w:pPr>
            <w:r w:rsidRPr="00910C05">
              <w:rPr>
                <w:rFonts w:cs="Calibri"/>
                <w:b/>
                <w:iCs/>
                <w:szCs w:val="24"/>
              </w:rPr>
              <w:t>PhD positions, postdocs and researchers a</w:t>
            </w:r>
            <w:r w:rsidRPr="00910C05">
              <w:rPr>
                <w:rFonts w:cs="Calibri"/>
                <w:iCs/>
                <w:szCs w:val="24"/>
              </w:rPr>
              <w:t>re most of the time fully funded by specific project money achieved, and thus the qualifications required are very specific.  This means that we have limited opportunities to recruit at these levels in a strategic manner, e.g. to build on some competency presently weak at the department. However, our strategic work is then within the application phase, where we secure the funding. There is also a need to focus on assuring gender balance. All apply in competition with each other, and academic merits are central for evaluation, but what we can do better is to encourage female researchers to apply – to actively advertise within our networks of MSc-level students/alumni, linked in, and social media, to reach many. For 2020, we have one specific opportunity to recruit up to three new postdocs to aid our research around transport, industrial, and city-level This is because of the KTH School of Industrial Engineering and Management, to which we belong, has put forward a 4 year school overarching research investment for enabling multidisciplinary projects and innovation. This is very welcome.</w:t>
            </w:r>
          </w:p>
          <w:p w14:paraId="48662CE6" w14:textId="77777777" w:rsidR="00910C05" w:rsidRPr="00910C05" w:rsidRDefault="00910C05" w:rsidP="00910C05">
            <w:pPr>
              <w:spacing w:after="0"/>
              <w:rPr>
                <w:rFonts w:cs="Calibri"/>
                <w:iCs/>
                <w:szCs w:val="24"/>
              </w:rPr>
            </w:pPr>
          </w:p>
          <w:p w14:paraId="12D55DF5" w14:textId="77777777" w:rsidR="00910C05" w:rsidRPr="00910C05" w:rsidRDefault="00910C05" w:rsidP="00910C05">
            <w:pPr>
              <w:spacing w:after="0"/>
              <w:rPr>
                <w:rFonts w:cs="Calibri"/>
              </w:rPr>
            </w:pPr>
            <w:r w:rsidRPr="00910C05">
              <w:rPr>
                <w:rFonts w:cs="Calibri"/>
              </w:rPr>
              <w:t xml:space="preserve">As per the discussion above (3c) on current faculty situation, we have an “aging” group of faculty with very few women. With strategically forming </w:t>
            </w:r>
            <w:r w:rsidRPr="00910C05">
              <w:rPr>
                <w:rFonts w:cs="Calibri"/>
                <w:b/>
                <w:bCs/>
              </w:rPr>
              <w:t>new faculty position at entry-level</w:t>
            </w:r>
            <w:r w:rsidRPr="00910C05">
              <w:rPr>
                <w:rFonts w:cs="Calibri"/>
              </w:rPr>
              <w:t>, as opposed to recruiting professors, we have the chance to remedy both aspects. In fact, in preparing descriptions for new positions to enhance competency around our central research questions (see 2b) we realized that world-wide, no female candidates for professor level positions were available. By this search, we are now informed that a better strategy is to recruit at a lower level since within the younger generation researchers there are a larger number of female young talent that KTH will hopefully be able to attract. In specific numbers, for 2020 we will advertise for three new associate professors, and shall prepare the funding for at least three new assistant professorships for 2021. Our ability on creating new faculty position is controlled by external funding, as well as government funding (centrally allotted by KTH).</w:t>
            </w:r>
          </w:p>
          <w:p w14:paraId="1E8230C9" w14:textId="77777777" w:rsidR="00910C05" w:rsidRPr="00910C05" w:rsidRDefault="00910C05" w:rsidP="00910C05">
            <w:pPr>
              <w:spacing w:after="0"/>
              <w:rPr>
                <w:rFonts w:cs="Calibri"/>
              </w:rPr>
            </w:pPr>
          </w:p>
          <w:p w14:paraId="03964C04" w14:textId="77777777" w:rsidR="00910C05" w:rsidRPr="00910C05" w:rsidRDefault="00910C05" w:rsidP="00910C05">
            <w:pPr>
              <w:spacing w:after="120"/>
              <w:rPr>
                <w:rFonts w:cs="Calibri"/>
              </w:rPr>
            </w:pPr>
            <w:r w:rsidRPr="00910C05">
              <w:rPr>
                <w:rFonts w:cs="Calibri"/>
                <w:b/>
                <w:bCs/>
                <w:color w:val="000000" w:themeColor="text1"/>
              </w:rPr>
              <w:t xml:space="preserve">e. </w:t>
            </w:r>
            <w:r w:rsidRPr="00910C05">
              <w:rPr>
                <w:rFonts w:cs="Calibri"/>
                <w:i/>
                <w:iCs/>
                <w:color w:val="000000" w:themeColor="text1"/>
              </w:rPr>
              <w:t>Infrastructure</w:t>
            </w:r>
            <w:r w:rsidRPr="00910C05">
              <w:rPr>
                <w:rFonts w:cs="Calibri"/>
                <w:i/>
                <w:iCs/>
              </w:rPr>
              <w:t xml:space="preserve"> and </w:t>
            </w:r>
            <w:r w:rsidRPr="00910C05">
              <w:rPr>
                <w:rFonts w:eastAsia="Times New Roman" w:cs="Calibri"/>
                <w:i/>
                <w:iCs/>
              </w:rPr>
              <w:t xml:space="preserve">facilities </w:t>
            </w:r>
          </w:p>
          <w:p w14:paraId="37EEE363" w14:textId="77777777" w:rsidR="00910C05" w:rsidRPr="00910C05" w:rsidRDefault="00910C05" w:rsidP="00910C05">
            <w:pPr>
              <w:rPr>
                <w:rFonts w:ascii="Times New Roman" w:eastAsia="Times New Roman" w:hAnsi="Times New Roman" w:cs="Times New Roman"/>
                <w:i/>
                <w:iCs/>
                <w:lang w:val="en-US"/>
              </w:rPr>
            </w:pPr>
            <w:r w:rsidRPr="00910C05">
              <w:rPr>
                <w:rFonts w:ascii="Times New Roman" w:eastAsia="Times New Roman" w:hAnsi="Times New Roman" w:cs="Times New Roman"/>
                <w:i/>
                <w:iCs/>
                <w:lang w:val="en-US"/>
              </w:rPr>
              <w:t xml:space="preserve"> The EGI laboratory with its world-class experimental facilities, recognized in four EU framework programs through coordination of FP7 BRISK, FP7 FUTURE, H2020 BRISK2 and H2020 ARIAS project consortiums all with the basis in the experimental facilities in the laboratory, and is the foundation of the group’s excellence. The </w:t>
            </w:r>
            <w:r w:rsidRPr="00910C05">
              <w:rPr>
                <w:rFonts w:ascii="Times New Roman" w:eastAsia="Times New Roman" w:hAnsi="Times New Roman" w:cs="Times New Roman"/>
                <w:i/>
                <w:iCs/>
                <w:lang w:val="en-US"/>
              </w:rPr>
              <w:lastRenderedPageBreak/>
              <w:t xml:space="preserve">department also is the founder of KTH Liv-in Lab that offers something as unique as full-scale test beds with everything from apartments in building-exempt premises to a changeable and scalable infrastructure.  </w:t>
            </w:r>
          </w:p>
          <w:p w14:paraId="62960DB3" w14:textId="77777777" w:rsidR="00910C05" w:rsidRPr="00910C05" w:rsidRDefault="00910C05" w:rsidP="00910C05">
            <w:pPr>
              <w:rPr>
                <w:rFonts w:ascii="Times New Roman" w:eastAsia="Times New Roman" w:hAnsi="Times New Roman" w:cs="Times New Roman"/>
                <w:szCs w:val="24"/>
                <w:lang w:val="en-US"/>
              </w:rPr>
            </w:pPr>
            <w:r w:rsidRPr="00910C05">
              <w:rPr>
                <w:rFonts w:ascii="Times New Roman" w:eastAsia="Times New Roman" w:hAnsi="Times New Roman" w:cs="Times New Roman"/>
                <w:szCs w:val="24"/>
                <w:lang w:val="en-US"/>
              </w:rPr>
              <w:t xml:space="preserve">An aware research strategy by the EGI management has been to nourish an excellent experimental basis interlaced with high fidelity analytical and numerical modelling. The experimental areas where EGI are in the international forefront in respective area are in turbomachinery, heat pumping technology, concentrating solar power, indoor climate and thermal energy storage where the majority of the applied research is in collaboration with industry either as program-research or as commissioned research. In the laboratory, there is also an external spin-off company with a pilot rig for production of green jet fuel and other liquid hydrocarbon fuels from bio-ethanol produced from bio-waste. There are two other collaborating research groups from CBH and SCI schools present in the laboratory on high-pressure gasification of biomass and two-phase flow research &amp; nuclear safety.   </w:t>
            </w:r>
          </w:p>
          <w:p w14:paraId="319889D5" w14:textId="77777777" w:rsidR="00910C05" w:rsidRPr="00910C05" w:rsidRDefault="00910C05" w:rsidP="00910C05">
            <w:r w:rsidRPr="00910C05">
              <w:rPr>
                <w:rFonts w:ascii="Times New Roman" w:eastAsia="Times New Roman" w:hAnsi="Times New Roman" w:cs="Times New Roman"/>
                <w:szCs w:val="24"/>
                <w:lang w:val="en-US"/>
              </w:rPr>
              <w:t>The existence of the test rigs requires reliable and at the same time modern and flexible infrastructure facilities such as a laboratory workshop with three skilled technicians covering areas of prototype manufacturing, electricity, refrigerants and test rig assembly. There is an automated gas system with a separate gashouse for variety of gases with a permit for 2700 L combustible gases to supply several users in the laboratory often controlled with the vast collection of mass flow controllers that exist in the lab. A PLC-controlled advanced air system supply the various wind tunnels and test rigs with process air and exhaust with various air compressors and fans. One large compressor capable of supplying 5 kg/s air at 4 bar with an inlet temperature between 20 and 150°C, 10 bar and 40 bar low flow compressors as a complement. Four large climate chambers á 12 m</w:t>
            </w:r>
            <w:r w:rsidRPr="00910C05">
              <w:rPr>
                <w:rFonts w:ascii="Times New Roman" w:eastAsia="Times New Roman" w:hAnsi="Times New Roman" w:cs="Times New Roman"/>
                <w:szCs w:val="24"/>
                <w:vertAlign w:val="superscript"/>
                <w:lang w:val="en-US"/>
              </w:rPr>
              <w:t>2</w:t>
            </w:r>
            <w:r w:rsidRPr="00910C05">
              <w:rPr>
                <w:rFonts w:ascii="Times New Roman" w:eastAsia="Times New Roman" w:hAnsi="Times New Roman" w:cs="Times New Roman"/>
                <w:szCs w:val="24"/>
                <w:lang w:val="en-US"/>
              </w:rPr>
              <w:t xml:space="preserve"> with possible controlled temperature between -30 to +40°C to study frost formation, heat pump performance etc. The chambers have flexible inner walls, which allows testing the U-values of building structures while simulating inner and outer climate. There are also two smaller chambers spanning from -80 to +180°C suitable for dynamic tests.</w:t>
            </w:r>
          </w:p>
          <w:p w14:paraId="43EC893E" w14:textId="77777777" w:rsidR="00910C05" w:rsidRPr="00910C05" w:rsidRDefault="00910C05" w:rsidP="00910C05">
            <w:r w:rsidRPr="00910C05">
              <w:rPr>
                <w:rFonts w:ascii="Times New Roman" w:eastAsia="Times New Roman" w:hAnsi="Times New Roman" w:cs="Times New Roman"/>
                <w:szCs w:val="24"/>
                <w:lang w:val="en-US"/>
              </w:rPr>
              <w:t xml:space="preserve">For the research related to turbomachinery the rigs spans from cold-flow component tests in the transonic-supersonic region in annular and linear cascades to a rotating cascade and hot component tests. The nature of the turbomachinery aero-elasticity research includes unsteady measurements and instrumentation that is one of the excellences at the department. </w:t>
            </w:r>
          </w:p>
          <w:p w14:paraId="6459F9B2" w14:textId="77777777" w:rsidR="00910C05" w:rsidRPr="00910C05" w:rsidRDefault="00910C05" w:rsidP="00910C05">
            <w:r w:rsidRPr="00910C05">
              <w:rPr>
                <w:rFonts w:ascii="Times New Roman" w:eastAsia="Times New Roman" w:hAnsi="Times New Roman" w:cs="Times New Roman"/>
                <w:szCs w:val="24"/>
                <w:lang w:val="en-US"/>
              </w:rPr>
              <w:t xml:space="preserve">On the laboratory roof a unique test rig to study heat transfer characteristics and thermal decomposition of methane at high pressure and temperature (200 bars, 1073K) has been commissioned in 2019, for the future generation of rocket engines. Furthermore, there are space to perform tests of solar and PV-panels but also heat pump testing with flammable refrigerants. </w:t>
            </w:r>
          </w:p>
          <w:p w14:paraId="6ACD0A43" w14:textId="77777777" w:rsidR="00910C05" w:rsidRPr="00910C05" w:rsidRDefault="00910C05" w:rsidP="00910C05">
            <w:r w:rsidRPr="00910C05">
              <w:rPr>
                <w:rFonts w:ascii="Times New Roman" w:eastAsia="Times New Roman" w:hAnsi="Times New Roman" w:cs="Times New Roman"/>
                <w:szCs w:val="24"/>
                <w:lang w:val="en-US"/>
              </w:rPr>
              <w:t>Low temperature thermal energy storage with phase change materials are tested and modelled in various test rigs at the department as well as heat exchange and heat storage related to bore holes in the ground. In the quest for a sustainable society, the research on thermal energy storage, in combination with renewable resources such as concentrating solar power, has evolved during the last years with excellence establishing within high-temperature storage and solar receivers. For Europe, a unique solar laboratory has been designed, built and in operation since 2015 containing concentrating high-voltage UV-</w:t>
            </w:r>
            <w:r w:rsidRPr="00910C05">
              <w:rPr>
                <w:rFonts w:ascii="Times New Roman" w:eastAsia="Times New Roman" w:hAnsi="Times New Roman" w:cs="Times New Roman"/>
                <w:szCs w:val="24"/>
                <w:lang w:val="en-US"/>
              </w:rPr>
              <w:lastRenderedPageBreak/>
              <w:t>lamps in a parabolic configuration temperatures above 1600°C within a target of 1 dm</w:t>
            </w:r>
            <w:r w:rsidRPr="00910C05">
              <w:rPr>
                <w:rFonts w:ascii="Times New Roman" w:eastAsia="Times New Roman" w:hAnsi="Times New Roman" w:cs="Times New Roman"/>
                <w:szCs w:val="24"/>
                <w:vertAlign w:val="superscript"/>
                <w:lang w:val="en-US"/>
              </w:rPr>
              <w:t>2</w:t>
            </w:r>
            <w:r w:rsidRPr="00910C05">
              <w:rPr>
                <w:rFonts w:ascii="Times New Roman" w:eastAsia="Times New Roman" w:hAnsi="Times New Roman" w:cs="Times New Roman"/>
                <w:szCs w:val="24"/>
                <w:lang w:val="en-US"/>
              </w:rPr>
              <w:t xml:space="preserve"> enabling solar receiver and material researches. There is lab-scale water purification test facilities based on the membrane technology.      </w:t>
            </w:r>
          </w:p>
          <w:p w14:paraId="570F9C0F" w14:textId="77777777" w:rsidR="00910C05" w:rsidRPr="00910C05" w:rsidRDefault="00910C05" w:rsidP="00910C05">
            <w:r w:rsidRPr="00910C05">
              <w:rPr>
                <w:rFonts w:ascii="Times New Roman" w:eastAsia="Times New Roman" w:hAnsi="Times New Roman" w:cs="Times New Roman"/>
                <w:szCs w:val="24"/>
                <w:lang w:val="en-US"/>
              </w:rPr>
              <w:t xml:space="preserve">In the laboratory, there are equipment/instruments to establish thermal properties of fluids such as heat capacity, viscosity and thermal diffusivity. High precision scales for different ranges, a low temperature freezer and a high temperature oven (1600°C). Furthermore, the lab has high-speed acquisition systems for resistive type of sensors used for unsteady measurements, hotwire system, optical measurement systems for LDA/L2F and Schlieren, and a variety of pneumatic and aerothermal-probes probes for the wind tunnels. Infrared technique is frequently used and the lab has four different cameras serving different needs. </w:t>
            </w:r>
          </w:p>
          <w:p w14:paraId="0CE2BEB3" w14:textId="77777777" w:rsidR="00910C05" w:rsidRPr="00910C05" w:rsidRDefault="00910C05" w:rsidP="00910C05">
            <w:pPr>
              <w:spacing w:after="0"/>
            </w:pPr>
            <w:r w:rsidRPr="00910C05">
              <w:rPr>
                <w:rFonts w:ascii="Times New Roman" w:eastAsia="Times New Roman" w:hAnsi="Times New Roman" w:cs="Times New Roman"/>
                <w:szCs w:val="24"/>
                <w:lang w:val="en-US"/>
              </w:rPr>
              <w:t>In order to maintain and develop the infrastructure and measurement capabilities necessary for an internationally competitive research it requires an investment of approximately two million SEK, annually the coming five years. There is a need to upgrade parts of the control system for the process air and gas system, to upgrade the climate chambers and the unsteady acquisition systems, IR measurement technology, high precision scale and gas analyzing equipment.</w:t>
            </w:r>
          </w:p>
          <w:p w14:paraId="71BA84EF" w14:textId="77777777" w:rsidR="00910C05" w:rsidRPr="00910C05" w:rsidRDefault="00910C05" w:rsidP="00910C05">
            <w:pPr>
              <w:spacing w:after="0"/>
              <w:rPr>
                <w:rFonts w:cs="Calibri"/>
                <w:szCs w:val="24"/>
                <w:lang w:val="en-US"/>
              </w:rPr>
            </w:pPr>
          </w:p>
          <w:p w14:paraId="1B8AAF99" w14:textId="77777777" w:rsidR="00910C05" w:rsidRPr="00910C05" w:rsidRDefault="00910C05" w:rsidP="00910C05">
            <w:pPr>
              <w:spacing w:after="0"/>
              <w:rPr>
                <w:rFonts w:cs="Calibri"/>
                <w:szCs w:val="24"/>
                <w:lang w:val="en-US"/>
              </w:rPr>
            </w:pPr>
          </w:p>
        </w:tc>
      </w:tr>
      <w:tr w:rsidR="00910C05" w:rsidRPr="00910C05" w14:paraId="419A5CA3" w14:textId="77777777" w:rsidTr="00D874A5">
        <w:tc>
          <w:tcPr>
            <w:tcW w:w="8789" w:type="dxa"/>
          </w:tcPr>
          <w:p w14:paraId="59D0FD82" w14:textId="77777777" w:rsidR="00910C05" w:rsidRPr="00910C05" w:rsidRDefault="00910C05" w:rsidP="00910C05">
            <w:pPr>
              <w:spacing w:after="120"/>
              <w:rPr>
                <w:rFonts w:eastAsiaTheme="majorEastAsia" w:cs="Calibri"/>
                <w:b/>
                <w:szCs w:val="24"/>
              </w:rPr>
            </w:pPr>
          </w:p>
        </w:tc>
      </w:tr>
    </w:tbl>
    <w:p w14:paraId="59E0AF15" w14:textId="77777777" w:rsidR="00910C05" w:rsidRPr="00910C05" w:rsidRDefault="00910C05" w:rsidP="00910C05"/>
    <w:p w14:paraId="1BA9989D" w14:textId="77777777" w:rsidR="00910C05" w:rsidRPr="00910C05" w:rsidRDefault="00910C05" w:rsidP="00910C05">
      <w:pPr>
        <w:spacing w:after="0"/>
        <w:rPr>
          <w:rFonts w:cs="Calibri"/>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10C05" w:rsidRPr="00910C05" w14:paraId="31311021" w14:textId="77777777" w:rsidTr="00D874A5">
        <w:tc>
          <w:tcPr>
            <w:tcW w:w="8789" w:type="dxa"/>
            <w:shd w:val="clear" w:color="auto" w:fill="D9D9D9" w:themeFill="background1" w:themeFillShade="D9"/>
          </w:tcPr>
          <w:p w14:paraId="54508CA9" w14:textId="77777777" w:rsidR="00910C05" w:rsidRPr="00910C05" w:rsidRDefault="00910C05" w:rsidP="00910C05">
            <w:pPr>
              <w:spacing w:after="0"/>
              <w:rPr>
                <w:rFonts w:cs="Calibri"/>
                <w:b/>
                <w:bCs/>
                <w:szCs w:val="24"/>
              </w:rPr>
            </w:pPr>
            <w:r w:rsidRPr="00910C05">
              <w:rPr>
                <w:rFonts w:cs="Calibri"/>
                <w:b/>
                <w:szCs w:val="24"/>
              </w:rPr>
              <w:t>4. Strategies and organization</w:t>
            </w:r>
          </w:p>
        </w:tc>
      </w:tr>
      <w:tr w:rsidR="00910C05" w:rsidRPr="00910C05" w14:paraId="2002D585" w14:textId="77777777" w:rsidTr="00D874A5">
        <w:tc>
          <w:tcPr>
            <w:tcW w:w="8789" w:type="dxa"/>
          </w:tcPr>
          <w:p w14:paraId="42448892" w14:textId="77777777" w:rsidR="00910C05" w:rsidRPr="00910C05" w:rsidRDefault="00910C05" w:rsidP="00910C05">
            <w:pPr>
              <w:spacing w:after="120"/>
              <w:rPr>
                <w:rFonts w:eastAsia="Calibri" w:cs="Calibri"/>
                <w:i/>
                <w:iCs/>
                <w:szCs w:val="24"/>
              </w:rPr>
            </w:pPr>
            <w:r w:rsidRPr="00910C05">
              <w:rPr>
                <w:rFonts w:eastAsia="Calibri" w:cs="Calibri"/>
                <w:b/>
                <w:bCs/>
                <w:szCs w:val="24"/>
              </w:rPr>
              <w:t>a</w:t>
            </w:r>
            <w:r w:rsidRPr="00910C05">
              <w:rPr>
                <w:rFonts w:eastAsia="Calibri" w:cs="Calibri"/>
                <w:b/>
                <w:bCs/>
                <w:i/>
                <w:iCs/>
                <w:szCs w:val="24"/>
              </w:rPr>
              <w:t>.</w:t>
            </w:r>
            <w:r w:rsidRPr="00910C05">
              <w:rPr>
                <w:rFonts w:eastAsia="Calibri" w:cs="Calibri"/>
                <w:i/>
                <w:iCs/>
                <w:szCs w:val="24"/>
              </w:rPr>
              <w:t xml:space="preserve"> Goals for development 5–10 years ahead</w:t>
            </w:r>
          </w:p>
          <w:p w14:paraId="5A3826EC" w14:textId="77777777" w:rsidR="00910C05" w:rsidRPr="00910C05" w:rsidRDefault="00910C05" w:rsidP="00910C05">
            <w:pPr>
              <w:spacing w:after="0"/>
              <w:rPr>
                <w:rFonts w:eastAsia="Calibri" w:cs="Calibri"/>
              </w:rPr>
            </w:pPr>
            <w:r w:rsidRPr="00910C05">
              <w:rPr>
                <w:rFonts w:eastAsia="Calibri" w:cs="Calibri"/>
                <w:i/>
                <w:iCs/>
              </w:rPr>
              <w:t>T</w:t>
            </w:r>
            <w:r w:rsidRPr="00910C05">
              <w:rPr>
                <w:rFonts w:eastAsia="Calibri" w:cs="Calibri"/>
              </w:rPr>
              <w:t>he department’s development goals are based on our internal strategy planning that originates from our yearly strategy days. They also take into account our SWOT analysis where we develop our strengths and try to mitigate our weaknesses.</w:t>
            </w:r>
          </w:p>
          <w:p w14:paraId="373A1C6D" w14:textId="77777777" w:rsidR="00910C05" w:rsidRPr="00910C05" w:rsidRDefault="00910C05" w:rsidP="00910C05">
            <w:pPr>
              <w:spacing w:after="0"/>
              <w:rPr>
                <w:rFonts w:eastAsia="Calibri" w:cs="Calibri"/>
                <w:szCs w:val="24"/>
              </w:rPr>
            </w:pPr>
            <w:r w:rsidRPr="00910C05">
              <w:rPr>
                <w:rFonts w:eastAsia="Calibri" w:cs="Calibri"/>
                <w:szCs w:val="24"/>
              </w:rPr>
              <w:t>Our development goals for the next 5-10 years period from our strategy days include the following:</w:t>
            </w:r>
          </w:p>
          <w:p w14:paraId="4B6162A1" w14:textId="77777777" w:rsidR="00910C05" w:rsidRPr="00910C05" w:rsidRDefault="00910C05" w:rsidP="00910C05">
            <w:pPr>
              <w:rPr>
                <w:rFonts w:eastAsia="Calibri" w:cs="Calibri"/>
                <w:szCs w:val="24"/>
                <w:lang w:val="en-US"/>
              </w:rPr>
            </w:pPr>
            <w:r w:rsidRPr="00910C05">
              <w:rPr>
                <w:rFonts w:eastAsia="Calibri" w:cs="Calibri"/>
                <w:szCs w:val="24"/>
                <w:lang w:val="en-US"/>
              </w:rPr>
              <w:t>(Goals 5-10 years EGI ”SMART” Goals (Specific-Measurable-Accepted-Realistic) – and Consolidated)</w:t>
            </w:r>
          </w:p>
          <w:p w14:paraId="72119CF1" w14:textId="77777777" w:rsidR="00910C05" w:rsidRPr="00910C05" w:rsidRDefault="00910C05" w:rsidP="003A09D8">
            <w:pPr>
              <w:numPr>
                <w:ilvl w:val="0"/>
                <w:numId w:val="17"/>
              </w:numPr>
              <w:spacing w:after="0"/>
              <w:contextualSpacing/>
              <w:rPr>
                <w:rFonts w:eastAsia="Calibri" w:cs="Calibri"/>
                <w:szCs w:val="24"/>
                <w:lang w:val="en-US" w:eastAsia="sv-SE"/>
              </w:rPr>
            </w:pPr>
            <w:r w:rsidRPr="00910C05">
              <w:rPr>
                <w:rFonts w:eastAsia="Calibri" w:cs="Calibri"/>
                <w:szCs w:val="24"/>
                <w:lang w:val="en-US" w:eastAsia="sv-SE"/>
              </w:rPr>
              <w:t>In 5 years, we shall be attractive to talent such that at least 2 new tenure track faculty are either female or other (intersex). In 10 years, at least another 2 tenure track faculty will be female or other, and we have obtained successful promotion of the first two recruits to at least Associate Professor.</w:t>
            </w:r>
          </w:p>
          <w:p w14:paraId="28BEBD51" w14:textId="77777777" w:rsidR="00910C05" w:rsidRPr="00910C05" w:rsidRDefault="00910C05" w:rsidP="003A09D8">
            <w:pPr>
              <w:numPr>
                <w:ilvl w:val="0"/>
                <w:numId w:val="17"/>
              </w:numPr>
              <w:spacing w:after="0"/>
              <w:contextualSpacing/>
              <w:rPr>
                <w:rFonts w:eastAsia="Calibri" w:cs="Calibri"/>
                <w:szCs w:val="24"/>
                <w:lang w:val="en-US" w:eastAsia="sv-SE"/>
              </w:rPr>
            </w:pPr>
            <w:r w:rsidRPr="00910C05">
              <w:rPr>
                <w:rFonts w:eastAsia="Calibri" w:cs="Calibri"/>
                <w:szCs w:val="24"/>
                <w:lang w:val="en-US" w:eastAsia="sv-SE"/>
              </w:rPr>
              <w:t>In 5 years, we are collaborating across divisions and with other departments/ other schools in at least 2 projects of significance respectively (i.e. supporting one PhD student and/or postdoc plus supervision and/or infrastructure capacity and senior researcher capacity) per new research areas as follows</w:t>
            </w:r>
          </w:p>
          <w:p w14:paraId="38719854"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Big Data/AI/Machine Learning for Energy Research and Development</w:t>
            </w:r>
          </w:p>
          <w:p w14:paraId="78EDA86D"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Making full utilization of Live in Lab, which means establishing it as the main demonstrator for new energy technology solutions in the built environment</w:t>
            </w:r>
          </w:p>
          <w:p w14:paraId="50635C9A"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lastRenderedPageBreak/>
              <w:t>New Energy Technology/Energy Systems Demonstrators, including virtual demonstrators.</w:t>
            </w:r>
          </w:p>
          <w:p w14:paraId="0EE4554B"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Energy Research linked to the Transport Sector (sector-coupling, infrastructure optimization, and also solar/biomass-based fuel (co-)generation).</w:t>
            </w:r>
          </w:p>
          <w:p w14:paraId="68A8CD73"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Energy storage and operational strategies in the context of electrification and renewable energy.</w:t>
            </w:r>
          </w:p>
          <w:p w14:paraId="2EDE9F40" w14:textId="77777777" w:rsidR="00910C05" w:rsidRPr="00910C05" w:rsidRDefault="00910C05" w:rsidP="003A09D8">
            <w:pPr>
              <w:numPr>
                <w:ilvl w:val="0"/>
                <w:numId w:val="17"/>
              </w:numPr>
              <w:spacing w:after="0"/>
              <w:contextualSpacing/>
              <w:rPr>
                <w:rFonts w:eastAsia="Calibri" w:cs="Calibri"/>
                <w:szCs w:val="24"/>
                <w:lang w:val="en-US" w:eastAsia="sv-SE"/>
              </w:rPr>
            </w:pPr>
            <w:r w:rsidRPr="00910C05">
              <w:rPr>
                <w:rFonts w:eastAsia="Calibri" w:cs="Calibri"/>
                <w:szCs w:val="24"/>
                <w:lang w:val="en-US" w:eastAsia="sv-SE"/>
              </w:rPr>
              <w:t>In 10 years related to the above new development areas, we have established ourselves within the areas with a significant portfolio of publications (e.g. per area, at least 3 publications with citations 10 or higher), and continued sustained funding (like 2 PhD students+1 postdoc per area).</w:t>
            </w:r>
          </w:p>
          <w:p w14:paraId="2D90385D" w14:textId="77777777" w:rsidR="00910C05" w:rsidRPr="00910C05" w:rsidRDefault="00910C05" w:rsidP="003A09D8">
            <w:pPr>
              <w:numPr>
                <w:ilvl w:val="0"/>
                <w:numId w:val="17"/>
              </w:numPr>
              <w:spacing w:after="0"/>
              <w:contextualSpacing/>
              <w:rPr>
                <w:rFonts w:eastAsia="Calibri" w:cs="Calibri"/>
                <w:szCs w:val="24"/>
                <w:lang w:val="en-US" w:eastAsia="sv-SE"/>
              </w:rPr>
            </w:pPr>
            <w:r w:rsidRPr="00910C05">
              <w:rPr>
                <w:rFonts w:eastAsia="Calibri" w:cs="Calibri"/>
                <w:szCs w:val="24"/>
                <w:lang w:val="en-US" w:eastAsia="sv-SE"/>
              </w:rPr>
              <w:t>In 5 years, we have also significantly developed already strong research areas including the following strategic targets (per target, min 2 PhD students + 1 postdoc+20% faculty funded, 4 scientific articles per year, unless otherwise specified):</w:t>
            </w:r>
          </w:p>
          <w:p w14:paraId="10CF00A9" w14:textId="77777777" w:rsidR="00910C05" w:rsidRPr="00910C05" w:rsidRDefault="00910C05" w:rsidP="003A09D8">
            <w:pPr>
              <w:numPr>
                <w:ilvl w:val="1"/>
                <w:numId w:val="17"/>
              </w:numPr>
              <w:spacing w:after="0"/>
              <w:contextualSpacing/>
              <w:rPr>
                <w:rFonts w:eastAsia="Calibri" w:cs="Calibri"/>
                <w:szCs w:val="24"/>
                <w:lang w:val="sv-SE" w:eastAsia="sv-SE"/>
              </w:rPr>
            </w:pPr>
            <w:r w:rsidRPr="00910C05">
              <w:rPr>
                <w:rFonts w:eastAsia="Calibri" w:cs="Calibri"/>
                <w:szCs w:val="24"/>
                <w:lang w:val="en-US" w:eastAsia="sv-SE"/>
              </w:rPr>
              <w:t>Our infrastructure and energy system modelling capacity, with: a) a sound programming/coding hygiene; b) a common toolbox – including forum for exchange of experiences, with large elements of open access; c) strengthened the applications in the national context. (Measured as existing toolbox with exchange forum)</w:t>
            </w:r>
          </w:p>
          <w:p w14:paraId="705901B3"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Integrated analysis, longterm planning, and technoeconomic optimization of a multitude of applications and system levels.</w:t>
            </w:r>
          </w:p>
          <w:p w14:paraId="21A3139C"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Electricity Access for Developing Regions in the world– our modeling supporting linking to other infrastructural developments, business models, and data development (link to Big Data and AI above).</w:t>
            </w:r>
          </w:p>
          <w:p w14:paraId="08340A96"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 xml:space="preserve">Our well-recognized Solar Laboratory is now established for fundamental research related to material science and solar fuels </w:t>
            </w:r>
          </w:p>
          <w:p w14:paraId="4F86D7D6"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Bio-fuels research is well-visualized with experimental capacity.</w:t>
            </w:r>
          </w:p>
          <w:p w14:paraId="03130131"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Thermal Energy Storage with a now broadened research base, and international leadership in the field.</w:t>
            </w:r>
          </w:p>
          <w:p w14:paraId="0B215D1E"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Heat Pumping Technology, international leadership and approaching new applications.</w:t>
            </w:r>
          </w:p>
          <w:p w14:paraId="19FDF0BD" w14:textId="77777777" w:rsidR="00910C05" w:rsidRPr="00910C05" w:rsidRDefault="00910C05" w:rsidP="003A09D8">
            <w:pPr>
              <w:numPr>
                <w:ilvl w:val="1"/>
                <w:numId w:val="17"/>
              </w:numPr>
              <w:spacing w:after="0"/>
              <w:contextualSpacing/>
              <w:rPr>
                <w:rFonts w:eastAsia="Calibri" w:cs="Calibri"/>
                <w:szCs w:val="24"/>
                <w:lang w:val="en-US" w:eastAsia="sv-SE"/>
              </w:rPr>
            </w:pPr>
            <w:r w:rsidRPr="00910C05">
              <w:rPr>
                <w:rFonts w:eastAsia="Calibri" w:cs="Calibri"/>
                <w:szCs w:val="24"/>
                <w:lang w:val="en-US" w:eastAsia="sv-SE"/>
              </w:rPr>
              <w:t>Turbomachinery research is broadened towards green aviation, space technology and more.</w:t>
            </w:r>
          </w:p>
          <w:p w14:paraId="3E094CE8" w14:textId="77777777" w:rsidR="00910C05" w:rsidRPr="00910C05" w:rsidRDefault="00910C05" w:rsidP="00910C05">
            <w:pPr>
              <w:spacing w:after="0"/>
              <w:rPr>
                <w:rFonts w:eastAsia="Calibri" w:cs="Calibri"/>
                <w:szCs w:val="24"/>
              </w:rPr>
            </w:pPr>
          </w:p>
          <w:p w14:paraId="05D82B1A" w14:textId="77777777" w:rsidR="00910C05" w:rsidRPr="00910C05" w:rsidRDefault="00910C05" w:rsidP="00910C05">
            <w:pPr>
              <w:spacing w:after="0"/>
              <w:rPr>
                <w:rFonts w:eastAsia="Calibri" w:cs="Calibri"/>
                <w:szCs w:val="24"/>
              </w:rPr>
            </w:pPr>
            <w:r w:rsidRPr="00910C05">
              <w:rPr>
                <w:rFonts w:eastAsia="Calibri" w:cs="Calibri"/>
                <w:szCs w:val="24"/>
              </w:rPr>
              <w:t>The development goals shall be reached through a mix of implementation measures. First, we have established an EGI recruitment strategy filling our gaps concerning Big Data and AI analysis as well as bio-fuels and chemical conversions. The second strategy to be implemented is to clarify and combine members of future research groups and to set goals and follow-up on funding applications in our strategic areas. The third pillar is to utilize and prioritize our own funding to build research capacity in new areas. Fourth, we need to adapt and prioritize our infrastructure support and in this context establish an infrastructure support concerning IT and software development. Finally, we will revise and follow-up our strategy work continuously and adapt our plans if necessary through our established work processes.</w:t>
            </w:r>
            <w:r w:rsidRPr="00910C05">
              <w:rPr>
                <w:rFonts w:eastAsia="Calibri" w:cs="Calibri"/>
                <w:i/>
                <w:iCs/>
                <w:szCs w:val="24"/>
              </w:rPr>
              <w:t xml:space="preserve"> </w:t>
            </w:r>
          </w:p>
          <w:p w14:paraId="50FA32E6" w14:textId="77777777" w:rsidR="00910C05" w:rsidRPr="00910C05" w:rsidRDefault="00910C05" w:rsidP="00910C05">
            <w:pPr>
              <w:spacing w:after="0"/>
              <w:rPr>
                <w:rFonts w:eastAsia="Calibri" w:cs="Calibri"/>
                <w:b/>
                <w:bCs/>
                <w:i/>
                <w:iCs/>
                <w:szCs w:val="24"/>
                <w:lang w:val="en-US"/>
              </w:rPr>
            </w:pPr>
          </w:p>
          <w:p w14:paraId="297F9313" w14:textId="77777777" w:rsidR="00910C05" w:rsidRPr="00910C05" w:rsidRDefault="00910C05" w:rsidP="00910C05">
            <w:pPr>
              <w:spacing w:after="120"/>
              <w:rPr>
                <w:rFonts w:eastAsia="Calibri" w:cs="Calibri"/>
                <w:color w:val="FF0000"/>
                <w:szCs w:val="24"/>
              </w:rPr>
            </w:pPr>
            <w:r w:rsidRPr="00910C05">
              <w:rPr>
                <w:rFonts w:eastAsia="Calibri" w:cs="Calibri"/>
                <w:b/>
                <w:bCs/>
                <w:szCs w:val="24"/>
              </w:rPr>
              <w:lastRenderedPageBreak/>
              <w:t>b</w:t>
            </w:r>
            <w:r w:rsidRPr="00910C05">
              <w:rPr>
                <w:rFonts w:eastAsia="Calibri" w:cs="Calibri"/>
                <w:b/>
                <w:bCs/>
                <w:i/>
                <w:iCs/>
                <w:szCs w:val="24"/>
              </w:rPr>
              <w:t xml:space="preserve">. </w:t>
            </w:r>
            <w:r w:rsidRPr="00910C05">
              <w:rPr>
                <w:rFonts w:eastAsia="Calibri" w:cs="Calibri"/>
                <w:i/>
                <w:iCs/>
                <w:szCs w:val="24"/>
              </w:rPr>
              <w:t>Congruence with university-level goals for research as set out in “A leading KTH - Development Plan 2018-23</w:t>
            </w:r>
            <w:r w:rsidRPr="00910C05">
              <w:rPr>
                <w:rFonts w:eastAsia="Calibri" w:cs="Calibri"/>
                <w:i/>
                <w:iCs/>
                <w:color w:val="000000" w:themeColor="text1"/>
                <w:szCs w:val="24"/>
              </w:rPr>
              <w:t>” and with the school(s) development plan(s) respectively.</w:t>
            </w:r>
          </w:p>
          <w:p w14:paraId="1E39FA80" w14:textId="77777777" w:rsidR="00910C05" w:rsidRPr="00910C05" w:rsidRDefault="00910C05" w:rsidP="00910C05">
            <w:pPr>
              <w:spacing w:after="0"/>
              <w:rPr>
                <w:rFonts w:eastAsia="Calibri" w:cs="Calibri"/>
                <w:b/>
                <w:bCs/>
                <w:szCs w:val="24"/>
              </w:rPr>
            </w:pPr>
            <w:r w:rsidRPr="00910C05">
              <w:rPr>
                <w:rFonts w:eastAsia="Calibri" w:cs="Calibri"/>
                <w:szCs w:val="24"/>
              </w:rPr>
              <w:t>In the following we address our congruence with the university level goals. The school’s development plan comprises strategies from our own development plan and is thereby directly linked to our strategies.</w:t>
            </w:r>
          </w:p>
          <w:p w14:paraId="314BB5A0" w14:textId="77777777" w:rsidR="00910C05" w:rsidRPr="00910C05" w:rsidRDefault="00910C05" w:rsidP="00910C05">
            <w:pPr>
              <w:spacing w:after="0"/>
              <w:rPr>
                <w:rFonts w:eastAsia="Calibri" w:cs="Calibri"/>
                <w:szCs w:val="24"/>
              </w:rPr>
            </w:pPr>
            <w:r w:rsidRPr="00910C05">
              <w:rPr>
                <w:rFonts w:eastAsia="Calibri" w:cs="Calibri"/>
                <w:szCs w:val="24"/>
              </w:rPr>
              <w:t>In the following we list KTH development goals and comment briefly how we address them at our department.</w:t>
            </w:r>
          </w:p>
          <w:p w14:paraId="40838CA6" w14:textId="77777777" w:rsidR="00910C05" w:rsidRPr="00910C05" w:rsidRDefault="00910C05" w:rsidP="00910C05">
            <w:pPr>
              <w:spacing w:after="0"/>
              <w:rPr>
                <w:rFonts w:eastAsia="Calibri" w:cs="Calibri"/>
                <w:szCs w:val="24"/>
              </w:rPr>
            </w:pPr>
            <w:r w:rsidRPr="00910C05">
              <w:rPr>
                <w:rFonts w:eastAsia="Calibri" w:cs="Calibri"/>
                <w:b/>
                <w:bCs/>
                <w:szCs w:val="24"/>
              </w:rPr>
              <w:t>Leading Education, Leading Research, Leading Collaboration</w:t>
            </w:r>
          </w:p>
          <w:p w14:paraId="11B787C3" w14:textId="77777777" w:rsidR="00910C05" w:rsidRPr="00910C05" w:rsidRDefault="00910C05" w:rsidP="00910C05">
            <w:pPr>
              <w:spacing w:after="0"/>
              <w:rPr>
                <w:rFonts w:eastAsia="Calibri" w:cs="Calibri"/>
                <w:b/>
                <w:bCs/>
                <w:szCs w:val="24"/>
              </w:rPr>
            </w:pPr>
            <w:r w:rsidRPr="00910C05">
              <w:rPr>
                <w:rFonts w:eastAsia="Calibri" w:cs="Calibri"/>
                <w:szCs w:val="24"/>
              </w:rPr>
              <w:t>The KTH pillars for being a leading University are implemented at department level where education, research and collaboration are closely intertwined. It is essential for us that we have state-of-the art research that is transferred into our education. We work continuously on our Master programs to reflect the research front in energy technology. We achieve this among other things through our close collaboration with both industry and other societal actors such as policy makers and representatives from the public. Almost all our research projects include collaboration with other stake-holders. In many of our courses we have representatives from industry and society teaching. Our vision is to be the leading authority in energy technology in Sweden and this vision is forming our strategic planning.</w:t>
            </w:r>
          </w:p>
          <w:p w14:paraId="48DFF3F2" w14:textId="77777777" w:rsidR="00910C05" w:rsidRPr="00910C05" w:rsidRDefault="00910C05" w:rsidP="00910C05">
            <w:pPr>
              <w:spacing w:after="0"/>
              <w:rPr>
                <w:rFonts w:eastAsia="Calibri" w:cs="Calibri"/>
                <w:b/>
                <w:bCs/>
                <w:szCs w:val="24"/>
              </w:rPr>
            </w:pPr>
            <w:r w:rsidRPr="00910C05">
              <w:rPr>
                <w:rFonts w:eastAsia="Calibri" w:cs="Calibri"/>
                <w:b/>
                <w:bCs/>
                <w:szCs w:val="24"/>
              </w:rPr>
              <w:t>An integrated KTH</w:t>
            </w:r>
          </w:p>
          <w:p w14:paraId="529E55EB" w14:textId="77777777" w:rsidR="00910C05" w:rsidRPr="00910C05" w:rsidRDefault="00910C05" w:rsidP="00910C05">
            <w:pPr>
              <w:spacing w:after="0"/>
              <w:rPr>
                <w:rFonts w:eastAsia="Calibri" w:cs="Calibri"/>
                <w:szCs w:val="24"/>
              </w:rPr>
            </w:pPr>
            <w:r w:rsidRPr="00910C05">
              <w:rPr>
                <w:rFonts w:eastAsia="Calibri" w:cs="Calibri"/>
                <w:szCs w:val="24"/>
              </w:rPr>
              <w:t>At the department we are well aware that we need to collaborate with our sister departments at KTH in order to have the right competence in both teaching and research available. Our collaboration in teaching is well established today where we for example provide competence for the EECS and CBH schools. We also receive competence from these schools. From a research perspective we have a need to establish stronger cooperation between the schools in order to be able to address the more complex system integrated questions in our field. This should be part of our strategic focus in the coming years.</w:t>
            </w:r>
          </w:p>
          <w:p w14:paraId="1F52EB65" w14:textId="77777777" w:rsidR="00910C05" w:rsidRPr="00910C05" w:rsidRDefault="00910C05" w:rsidP="00910C05">
            <w:pPr>
              <w:spacing w:after="0"/>
              <w:rPr>
                <w:rFonts w:eastAsia="Calibri" w:cs="Calibri"/>
                <w:b/>
                <w:bCs/>
                <w:szCs w:val="24"/>
              </w:rPr>
            </w:pPr>
            <w:r w:rsidRPr="00910C05">
              <w:rPr>
                <w:rFonts w:eastAsia="Calibri" w:cs="Calibri"/>
                <w:b/>
                <w:bCs/>
                <w:szCs w:val="24"/>
              </w:rPr>
              <w:t>A visible KTH</w:t>
            </w:r>
          </w:p>
          <w:p w14:paraId="4B1D3F0F" w14:textId="77777777" w:rsidR="00910C05" w:rsidRPr="00910C05" w:rsidRDefault="00910C05" w:rsidP="00910C05">
            <w:pPr>
              <w:spacing w:after="0"/>
              <w:rPr>
                <w:rFonts w:eastAsia="Calibri" w:cs="Calibri"/>
                <w:szCs w:val="24"/>
              </w:rPr>
            </w:pPr>
            <w:r w:rsidRPr="00910C05">
              <w:rPr>
                <w:rFonts w:eastAsia="Calibri" w:cs="Calibri"/>
                <w:szCs w:val="24"/>
              </w:rPr>
              <w:t>The department is very visible in certain areas such as for example energy system analysis on the international level. Furthermore, the department is the leading voice in the research and professional community in the field of cooling and refrigeration and heat pumps. These are fields of strength that have developed over time. The department can however improve its overall visibility and should have the goal to become the go to resource for energy technology questions in the national context. Here we need to implement more coherent measures for our visibility.</w:t>
            </w:r>
          </w:p>
          <w:p w14:paraId="3C08F339" w14:textId="77777777" w:rsidR="00910C05" w:rsidRPr="00910C05" w:rsidRDefault="00910C05" w:rsidP="00910C05">
            <w:pPr>
              <w:spacing w:after="0"/>
              <w:rPr>
                <w:rFonts w:eastAsia="Calibri" w:cs="Calibri"/>
                <w:b/>
                <w:bCs/>
                <w:szCs w:val="24"/>
              </w:rPr>
            </w:pPr>
            <w:r w:rsidRPr="00910C05">
              <w:rPr>
                <w:rFonts w:eastAsia="Calibri" w:cs="Calibri"/>
                <w:b/>
                <w:bCs/>
                <w:szCs w:val="24"/>
              </w:rPr>
              <w:t>An equal opportunities KTH, an open KTH and a KTH in a global world</w:t>
            </w:r>
          </w:p>
          <w:p w14:paraId="3E67A434" w14:textId="77777777" w:rsidR="00910C05" w:rsidRPr="00910C05" w:rsidRDefault="00910C05" w:rsidP="00910C05">
            <w:pPr>
              <w:spacing w:after="0"/>
              <w:rPr>
                <w:rFonts w:eastAsia="Calibri" w:cs="Calibri"/>
                <w:szCs w:val="24"/>
              </w:rPr>
            </w:pPr>
            <w:r w:rsidRPr="00910C05">
              <w:rPr>
                <w:rFonts w:eastAsia="Calibri" w:cs="Calibri"/>
                <w:szCs w:val="24"/>
              </w:rPr>
              <w:t>KTH is aiming for to be relevant to the society and represent all parts of society when it comes to gender, ethnical background and socioeconomic background. It also aims to integrate in society both locally on national level, but also be present and integrated in a global environment. At the department we are actively working towards these goals. We have a very diverse work environment with many nationalities represented. We provide very popular international Master programs. We integrate ourselves in the Swedish development programs for developing countries both concerning research and education. We have established collaboration with international Universities and research organizations. We need however to work on gender equality. Our faculty does not represent society when it comes to gender balance and it will be a main development focus for us.</w:t>
            </w:r>
          </w:p>
          <w:p w14:paraId="29133835" w14:textId="77777777" w:rsidR="00910C05" w:rsidRPr="00910C05" w:rsidRDefault="00910C05" w:rsidP="00910C05">
            <w:pPr>
              <w:spacing w:after="0"/>
              <w:rPr>
                <w:rFonts w:eastAsia="Calibri" w:cs="Calibri"/>
                <w:szCs w:val="24"/>
              </w:rPr>
            </w:pPr>
            <w:r w:rsidRPr="00910C05">
              <w:rPr>
                <w:rFonts w:eastAsia="Calibri" w:cs="Calibri"/>
                <w:b/>
                <w:bCs/>
                <w:szCs w:val="24"/>
              </w:rPr>
              <w:lastRenderedPageBreak/>
              <w:t>A KTH for a more digitalized world and a KTH for a more sustainable world</w:t>
            </w:r>
          </w:p>
          <w:p w14:paraId="61601082" w14:textId="77777777" w:rsidR="00910C05" w:rsidRPr="00910C05" w:rsidRDefault="00910C05" w:rsidP="00910C05">
            <w:pPr>
              <w:spacing w:after="0"/>
              <w:rPr>
                <w:rFonts w:eastAsia="Calibri" w:cs="Calibri"/>
              </w:rPr>
            </w:pPr>
            <w:r w:rsidRPr="00910C05">
              <w:rPr>
                <w:rFonts w:eastAsia="Calibri" w:cs="Calibri"/>
              </w:rPr>
              <w:t xml:space="preserve">As many other industry sectors, the Energy sector and energy infrastructure relies to an increasing degree on sensor information and integrated data analysis from these sensors. This drives the need for big data analysis, handling of data with respect to security and integrity aspects as well as integration of machine learning elements for system analysis and control. Our department is reacting to this trend and will put effort in establishing research areas in energy data analysis as well as AI and machine learning. We are also working with digitalisation aspects in our Live-in-lab center. This is one of the pillars of our future development. Sustainability on the other hand is well integrated in our research field. All our research questions do encompass sustainability aspects both in terms of resources, pollution and socio-economic aspects of energy technology. In that sense we are driving sustainability questions forward at KTH. We are also unique in our work with integrated assessment of exploitation of resources, the so-called CLEWs concept (Climate-Land-Energy-Water), and its impact on infrastructure planning and policy design. Therefore, we cover most of the Agenda 2030 17 SDGs in our research, and have the competency to further elaborate sustainability from many aspects. This include the much needed gender and equality targets.  </w:t>
            </w:r>
          </w:p>
          <w:p w14:paraId="3D664177" w14:textId="77777777" w:rsidR="00910C05" w:rsidRPr="00910C05" w:rsidRDefault="00910C05" w:rsidP="00910C05">
            <w:pPr>
              <w:spacing w:after="0"/>
              <w:rPr>
                <w:rFonts w:eastAsia="Calibri" w:cs="Calibri"/>
                <w:b/>
                <w:bCs/>
              </w:rPr>
            </w:pPr>
          </w:p>
          <w:p w14:paraId="16EA3DD6" w14:textId="77777777" w:rsidR="00910C05" w:rsidRPr="00910C05" w:rsidRDefault="00910C05" w:rsidP="00910C05">
            <w:pPr>
              <w:spacing w:after="120"/>
              <w:rPr>
                <w:rFonts w:eastAsia="Calibri" w:cs="Calibri"/>
                <w:color w:val="FF0000"/>
                <w:szCs w:val="24"/>
              </w:rPr>
            </w:pPr>
            <w:r w:rsidRPr="00910C05">
              <w:rPr>
                <w:rFonts w:eastAsia="Calibri" w:cs="Calibri"/>
                <w:b/>
                <w:bCs/>
                <w:szCs w:val="24"/>
              </w:rPr>
              <w:t>c.</w:t>
            </w:r>
            <w:r w:rsidRPr="00910C05">
              <w:rPr>
                <w:rFonts w:eastAsia="Calibri" w:cs="Calibri"/>
                <w:szCs w:val="24"/>
              </w:rPr>
              <w:t xml:space="preserve"> </w:t>
            </w:r>
            <w:r w:rsidRPr="00910C05">
              <w:rPr>
                <w:rFonts w:eastAsia="Calibri" w:cs="Calibri"/>
                <w:i/>
                <w:iCs/>
                <w:color w:val="000000" w:themeColor="text1"/>
                <w:szCs w:val="24"/>
              </w:rPr>
              <w:t xml:space="preserve">Leadership structure and collegial structure </w:t>
            </w:r>
          </w:p>
          <w:p w14:paraId="3352F8C9" w14:textId="77777777" w:rsidR="00910C05" w:rsidRPr="00910C05" w:rsidRDefault="00910C05" w:rsidP="00910C05">
            <w:pPr>
              <w:rPr>
                <w:rFonts w:eastAsia="Calibri" w:cs="Calibri"/>
              </w:rPr>
            </w:pPr>
            <w:r w:rsidRPr="00910C05">
              <w:rPr>
                <w:rFonts w:eastAsia="Calibri" w:cs="Calibri"/>
              </w:rPr>
              <w:t>The department follows the line organization as established by KTH, with department head as the main responsible person, with division heads reporting to the department head. The management group is chaired by the department head and includes division heads, director for undergraduate/MSc studies, director for PhD studies, and controller, with meetings held each week. PhD student representatives join these meetings from time to time. Each of the two laboratories has its own manager, who reports to the respective division head. Administration is largely managed at the school level (ITM). Each division hosts research groups of various size, with membership composed of faculty, researchers, and PhD students. Interaction between groups ranges from only periodic to regular. The department plans to address this discrepancy by forming new research groups spanning all three divisions, and the newly established ITM Research Initiative on Sustainability in Society (ISIS) will be employed to facilitate this.</w:t>
            </w:r>
          </w:p>
          <w:p w14:paraId="111EF9C9" w14:textId="77777777" w:rsidR="00910C05" w:rsidRPr="00910C05" w:rsidRDefault="00910C05" w:rsidP="00910C05">
            <w:pPr>
              <w:rPr>
                <w:rFonts w:eastAsia="Calibri" w:cs="Calibri"/>
              </w:rPr>
            </w:pPr>
            <w:r w:rsidRPr="00910C05">
              <w:rPr>
                <w:rFonts w:eastAsia="Calibri" w:cs="Calibri"/>
              </w:rPr>
              <w:t>Researchers with a PhD degree are part of the department’s supervisor collegium, which meets periodically to discuss the improvement of PhD studies. This group interacts with the PhD student council. PhD supervisors interact with ITM colleagues at Faculty Club meetings, held about four times per year.</w:t>
            </w:r>
          </w:p>
          <w:p w14:paraId="6C61416C" w14:textId="77777777" w:rsidR="00910C05" w:rsidRPr="00910C05" w:rsidRDefault="00910C05" w:rsidP="00910C05">
            <w:pPr>
              <w:spacing w:after="120"/>
              <w:rPr>
                <w:rFonts w:eastAsia="Calibri" w:cs="Calibri"/>
                <w:i/>
                <w:iCs/>
                <w:color w:val="000000" w:themeColor="text1"/>
                <w:szCs w:val="24"/>
              </w:rPr>
            </w:pPr>
            <w:r w:rsidRPr="00910C05">
              <w:rPr>
                <w:rFonts w:eastAsia="Calibri" w:cs="Calibri"/>
                <w:b/>
                <w:bCs/>
                <w:color w:val="000000" w:themeColor="text1"/>
                <w:szCs w:val="24"/>
              </w:rPr>
              <w:t>d.</w:t>
            </w:r>
            <w:r w:rsidRPr="00910C05">
              <w:rPr>
                <w:rFonts w:eastAsia="Calibri" w:cs="Calibri"/>
                <w:i/>
                <w:iCs/>
                <w:color w:val="000000" w:themeColor="text1"/>
                <w:szCs w:val="24"/>
              </w:rPr>
              <w:t xml:space="preserve"> Strategies for high quality </w:t>
            </w:r>
          </w:p>
          <w:p w14:paraId="6A17CF48" w14:textId="77777777" w:rsidR="00910C05" w:rsidRPr="00910C05" w:rsidRDefault="00910C05" w:rsidP="00910C05">
            <w:pPr>
              <w:spacing w:after="0"/>
              <w:rPr>
                <w:rFonts w:eastAsia="Calibri" w:cs="Calibri"/>
                <w:szCs w:val="24"/>
                <w:lang w:val="en-US"/>
              </w:rPr>
            </w:pPr>
            <w:r w:rsidRPr="00910C05">
              <w:rPr>
                <w:rFonts w:eastAsia="Calibri" w:cs="Calibri"/>
                <w:szCs w:val="24"/>
                <w:lang w:val="en-US"/>
              </w:rPr>
              <w:t>In order to define strategies for high quality, we need to explain how our department has “internalized” the concept of quality. Quality, for us, encompasses work processes as well as research output, AND our ability to communicate our work to all societal stakeholders that can benefit from the new knowledge created. Quality is about generating new knowledge based on scientific methods and with high ethical standards, and ensuring that the knowledge is transferred with high impact. Internal quality processes (research processes, application processes, administrative processes, communication plans) support this work. A natural step is to integrate quality check-</w:t>
            </w:r>
            <w:r w:rsidRPr="00910C05">
              <w:rPr>
                <w:rFonts w:eastAsia="Calibri" w:cs="Calibri"/>
                <w:szCs w:val="24"/>
                <w:lang w:val="en-US"/>
              </w:rPr>
              <w:lastRenderedPageBreak/>
              <w:t>points along the way, in addition to the formal “check-points” mandatory at KTH (e.g., follow-up study plans, PhD defense, quality reviews, research assessments, etc). Here are examples of such check-points at our department:</w:t>
            </w:r>
          </w:p>
          <w:p w14:paraId="2E77F185" w14:textId="77777777" w:rsidR="00910C05" w:rsidRPr="00910C05" w:rsidRDefault="00910C05" w:rsidP="003A09D8">
            <w:pPr>
              <w:numPr>
                <w:ilvl w:val="0"/>
                <w:numId w:val="16"/>
              </w:numPr>
              <w:spacing w:after="0"/>
              <w:contextualSpacing/>
              <w:rPr>
                <w:rFonts w:eastAsia="Calibri" w:cs="Calibri"/>
                <w:szCs w:val="24"/>
                <w:lang w:val="en-US" w:eastAsia="sv-SE"/>
              </w:rPr>
            </w:pPr>
            <w:r w:rsidRPr="00910C05">
              <w:rPr>
                <w:rFonts w:eastAsia="Calibri" w:cs="Calibri"/>
                <w:szCs w:val="24"/>
                <w:lang w:val="en-US" w:eastAsia="sv-SE"/>
              </w:rPr>
              <w:t>The Management Team at the department meets weekly with an agenda that covers operational as well as strategic issues, including quality review. Examples of quality issues followed up together in this context are: bibliometric data and publication, funding—acquired and opportunities, recruitment, and reach-out to other research teams/industrial partners/other stakeholders.</w:t>
            </w:r>
          </w:p>
          <w:p w14:paraId="4A795887" w14:textId="77777777" w:rsidR="00910C05" w:rsidRPr="00910C05" w:rsidRDefault="00910C05" w:rsidP="003A09D8">
            <w:pPr>
              <w:numPr>
                <w:ilvl w:val="0"/>
                <w:numId w:val="16"/>
              </w:numPr>
              <w:spacing w:after="0"/>
              <w:contextualSpacing/>
              <w:rPr>
                <w:rFonts w:eastAsia="Calibri" w:cs="Calibri"/>
                <w:szCs w:val="24"/>
                <w:lang w:val="en-US" w:eastAsia="sv-SE"/>
              </w:rPr>
            </w:pPr>
            <w:r w:rsidRPr="00910C05">
              <w:rPr>
                <w:rFonts w:eastAsia="Calibri" w:cs="Calibri"/>
                <w:szCs w:val="24"/>
                <w:lang w:val="en-US" w:eastAsia="sv-SE"/>
              </w:rPr>
              <w:t>The faculty gathers at least once a year for the EGI Strategy Days – what are we doing, and why? Our vision is (re-)defined and concrete action points are defined for the year to come.</w:t>
            </w:r>
          </w:p>
          <w:p w14:paraId="2C460B63" w14:textId="77777777" w:rsidR="00910C05" w:rsidRPr="00910C05" w:rsidRDefault="00910C05" w:rsidP="003A09D8">
            <w:pPr>
              <w:numPr>
                <w:ilvl w:val="0"/>
                <w:numId w:val="16"/>
              </w:numPr>
              <w:spacing w:after="0"/>
              <w:contextualSpacing/>
              <w:rPr>
                <w:rFonts w:eastAsia="Calibri" w:cs="Calibri"/>
                <w:szCs w:val="24"/>
                <w:lang w:val="en-US" w:eastAsia="sv-SE"/>
              </w:rPr>
            </w:pPr>
            <w:r w:rsidRPr="00910C05">
              <w:rPr>
                <w:rFonts w:eastAsia="Calibri" w:cs="Calibri"/>
                <w:szCs w:val="24"/>
                <w:lang w:val="en-US" w:eastAsia="sv-SE"/>
              </w:rPr>
              <w:t>All PhD students conduct a midseminar, roughly half way through their PhD education. This is a time for consolidating the background, formulating clearly the research questions, methodology, discuss the results so far, and conclude on the work ahead. A panel of faculty, and peers, give feedback. One invited opponent, external to the department, brings fresh viewpoints on scope, methods, and results.</w:t>
            </w:r>
          </w:p>
          <w:p w14:paraId="162F8E5D" w14:textId="77777777" w:rsidR="00910C05" w:rsidRPr="00910C05" w:rsidRDefault="00910C05" w:rsidP="003A09D8">
            <w:pPr>
              <w:numPr>
                <w:ilvl w:val="0"/>
                <w:numId w:val="16"/>
              </w:numPr>
              <w:spacing w:after="0"/>
              <w:contextualSpacing/>
              <w:rPr>
                <w:rFonts w:eastAsia="Calibri" w:cs="Calibri"/>
                <w:szCs w:val="24"/>
                <w:lang w:val="en-US" w:eastAsia="sv-SE"/>
              </w:rPr>
            </w:pPr>
            <w:r w:rsidRPr="00910C05">
              <w:rPr>
                <w:rFonts w:eastAsia="Calibri" w:cs="Calibri"/>
                <w:szCs w:val="24"/>
                <w:lang w:val="en-US" w:eastAsia="sv-SE"/>
              </w:rPr>
              <w:t>All PhD students need to have at least four publications where at least two should be published in high quality journals. The thesis as a whole should reflect the work of 4 journal publications.</w:t>
            </w:r>
          </w:p>
          <w:p w14:paraId="39753E82" w14:textId="77777777" w:rsidR="00910C05" w:rsidRPr="00910C05" w:rsidRDefault="00910C05" w:rsidP="00910C05">
            <w:pPr>
              <w:spacing w:after="0"/>
              <w:ind w:left="360"/>
              <w:rPr>
                <w:rFonts w:eastAsia="Calibri" w:cs="Calibri"/>
                <w:szCs w:val="24"/>
                <w:lang w:val="en-US"/>
              </w:rPr>
            </w:pPr>
          </w:p>
          <w:p w14:paraId="61EBC7F5" w14:textId="77777777" w:rsidR="00910C05" w:rsidRPr="00910C05" w:rsidRDefault="00910C05" w:rsidP="00910C05">
            <w:pPr>
              <w:spacing w:after="0"/>
              <w:rPr>
                <w:rFonts w:eastAsia="Calibri" w:cs="Calibri"/>
                <w:lang w:val="en-US"/>
              </w:rPr>
            </w:pPr>
            <w:r w:rsidRPr="00910C05">
              <w:rPr>
                <w:rFonts w:eastAsia="Calibri" w:cs="Calibri"/>
                <w:lang w:val="en-US"/>
              </w:rPr>
              <w:t>Our identified development opportunities, with regards to quality work, are:</w:t>
            </w:r>
          </w:p>
          <w:p w14:paraId="2D62EDD4" w14:textId="77777777" w:rsidR="00910C05" w:rsidRPr="00910C05" w:rsidRDefault="00910C05" w:rsidP="003A09D8">
            <w:pPr>
              <w:numPr>
                <w:ilvl w:val="0"/>
                <w:numId w:val="16"/>
              </w:numPr>
              <w:spacing w:after="0"/>
              <w:contextualSpacing/>
              <w:rPr>
                <w:rFonts w:eastAsia="Calibri" w:cs="Calibri"/>
                <w:szCs w:val="24"/>
                <w:lang w:val="en-US" w:eastAsia="sv-SE"/>
              </w:rPr>
            </w:pPr>
            <w:r w:rsidRPr="00910C05">
              <w:rPr>
                <w:rFonts w:eastAsia="Calibri" w:cs="Calibri"/>
                <w:szCs w:val="24"/>
                <w:lang w:val="en-US" w:eastAsia="sv-SE"/>
              </w:rPr>
              <w:t>Accessing world-wide talent by recruiting entry-level faculty/assistant professor, rather than associate or full professors. With entry-level, we have higher opportunity of receiving applications also from qualified women, thus enlarging the pool of candidates in our search for the best candidates.</w:t>
            </w:r>
          </w:p>
          <w:p w14:paraId="474AA01A" w14:textId="77777777" w:rsidR="00910C05" w:rsidRPr="00910C05" w:rsidRDefault="00910C05" w:rsidP="003A09D8">
            <w:pPr>
              <w:numPr>
                <w:ilvl w:val="0"/>
                <w:numId w:val="16"/>
              </w:numPr>
              <w:spacing w:after="0"/>
              <w:contextualSpacing/>
              <w:rPr>
                <w:rFonts w:eastAsia="Calibri" w:cs="Calibri"/>
                <w:szCs w:val="24"/>
                <w:lang w:val="en-US" w:eastAsia="sv-SE"/>
              </w:rPr>
            </w:pPr>
            <w:r w:rsidRPr="00910C05">
              <w:rPr>
                <w:rFonts w:eastAsia="Calibri" w:cs="Calibri"/>
                <w:szCs w:val="24"/>
                <w:lang w:val="en-US" w:eastAsia="sv-SE"/>
              </w:rPr>
              <w:t>We move now for publication in open access, still reaching high impact journals, and are supported by the ITM-school for the sake of funding, in case our projects do not cover such cost.</w:t>
            </w:r>
          </w:p>
          <w:p w14:paraId="14ECE73B" w14:textId="77777777" w:rsidR="00910C05" w:rsidRPr="00910C05" w:rsidRDefault="00910C05" w:rsidP="003A09D8">
            <w:pPr>
              <w:numPr>
                <w:ilvl w:val="0"/>
                <w:numId w:val="16"/>
              </w:numPr>
              <w:spacing w:after="0"/>
              <w:contextualSpacing/>
              <w:rPr>
                <w:rFonts w:eastAsia="Calibri" w:cs="Calibri"/>
                <w:szCs w:val="24"/>
                <w:lang w:val="en-US" w:eastAsia="sv-SE"/>
              </w:rPr>
            </w:pPr>
            <w:r w:rsidRPr="00910C05">
              <w:rPr>
                <w:rFonts w:eastAsia="Calibri" w:cs="Calibri"/>
                <w:szCs w:val="24"/>
                <w:lang w:val="en-US" w:eastAsia="sv-SE"/>
              </w:rPr>
              <w:t>We continuously discuss ways to increase the quality of our PhD education, including the possibility to, in addition to the above mentioned midseminar, have a “year 1-seminar” as well.</w:t>
            </w:r>
          </w:p>
          <w:p w14:paraId="5F6F777B" w14:textId="77777777" w:rsidR="00910C05" w:rsidRPr="00910C05" w:rsidRDefault="00910C05" w:rsidP="003A09D8">
            <w:pPr>
              <w:numPr>
                <w:ilvl w:val="0"/>
                <w:numId w:val="16"/>
              </w:numPr>
              <w:spacing w:after="0"/>
              <w:contextualSpacing/>
              <w:rPr>
                <w:rFonts w:eastAsia="Calibri" w:cs="Calibri"/>
                <w:szCs w:val="24"/>
                <w:lang w:val="en-US" w:eastAsia="sv-SE"/>
              </w:rPr>
            </w:pPr>
            <w:r w:rsidRPr="00910C05">
              <w:rPr>
                <w:rFonts w:eastAsia="Calibri" w:cs="Calibri"/>
                <w:szCs w:val="24"/>
                <w:lang w:val="en-US" w:eastAsia="sv-SE"/>
              </w:rPr>
              <w:t>In this self-assessment, we identified a number of impact cases of which some are described in more detail. We are thus on our way to better understand how we impact society, and are excited about continuing to describe such impacts in order to learn from, and inspire each other.</w:t>
            </w:r>
          </w:p>
          <w:p w14:paraId="52479A9A" w14:textId="77777777" w:rsidR="00910C05" w:rsidRPr="00910C05" w:rsidRDefault="00910C05" w:rsidP="00910C05">
            <w:pPr>
              <w:spacing w:after="0"/>
              <w:rPr>
                <w:rFonts w:eastAsia="Calibri" w:cs="Calibri"/>
                <w:szCs w:val="24"/>
                <w:lang w:val="en-US"/>
              </w:rPr>
            </w:pPr>
          </w:p>
        </w:tc>
      </w:tr>
      <w:tr w:rsidR="00910C05" w:rsidRPr="00910C05" w14:paraId="7795FBAB" w14:textId="77777777" w:rsidTr="00D874A5">
        <w:tc>
          <w:tcPr>
            <w:tcW w:w="8789" w:type="dxa"/>
          </w:tcPr>
          <w:p w14:paraId="27C62569" w14:textId="77777777" w:rsidR="00910C05" w:rsidRPr="00910C05" w:rsidRDefault="00910C05" w:rsidP="00910C05">
            <w:pPr>
              <w:rPr>
                <w:rFonts w:eastAsia="Times New Roman" w:cs="Calibri"/>
                <w:b/>
                <w:bCs/>
              </w:rPr>
            </w:pPr>
          </w:p>
        </w:tc>
      </w:tr>
    </w:tbl>
    <w:p w14:paraId="4FE4B6BF" w14:textId="77777777" w:rsidR="00910C05" w:rsidRPr="00910C05" w:rsidRDefault="00910C05" w:rsidP="00910C05">
      <w:pPr>
        <w:spacing w:after="0"/>
        <w:rPr>
          <w:rFonts w:cs="Calibri"/>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10C05" w:rsidRPr="00910C05" w14:paraId="0143CFC7" w14:textId="77777777" w:rsidTr="00D874A5">
        <w:tc>
          <w:tcPr>
            <w:tcW w:w="8789" w:type="dxa"/>
            <w:shd w:val="clear" w:color="auto" w:fill="D9D9D9" w:themeFill="background1" w:themeFillShade="D9"/>
          </w:tcPr>
          <w:p w14:paraId="14439F52" w14:textId="77777777" w:rsidR="00910C05" w:rsidRPr="00910C05" w:rsidRDefault="00910C05" w:rsidP="00910C05">
            <w:pPr>
              <w:spacing w:after="0"/>
              <w:rPr>
                <w:rFonts w:cs="Calibri"/>
                <w:b/>
                <w:bCs/>
                <w:szCs w:val="24"/>
                <w:lang w:val="en-US"/>
              </w:rPr>
            </w:pPr>
            <w:r w:rsidRPr="00910C05">
              <w:rPr>
                <w:rFonts w:cs="Calibri"/>
                <w:b/>
                <w:szCs w:val="24"/>
                <w:lang w:val="en-US"/>
              </w:rPr>
              <w:t>5. Interaction between research and teaching</w:t>
            </w:r>
          </w:p>
        </w:tc>
      </w:tr>
      <w:tr w:rsidR="00910C05" w:rsidRPr="00910C05" w14:paraId="0BEECD24" w14:textId="77777777" w:rsidTr="00D874A5">
        <w:tc>
          <w:tcPr>
            <w:tcW w:w="8789" w:type="dxa"/>
          </w:tcPr>
          <w:p w14:paraId="2186C79B" w14:textId="77777777" w:rsidR="00910C05" w:rsidRPr="00910C05" w:rsidRDefault="00910C05" w:rsidP="00910C05">
            <w:pPr>
              <w:spacing w:after="120"/>
              <w:rPr>
                <w:rFonts w:cs="Calibri"/>
                <w:szCs w:val="24"/>
              </w:rPr>
            </w:pPr>
            <w:r w:rsidRPr="00910C05">
              <w:rPr>
                <w:rFonts w:cs="Calibri"/>
                <w:b/>
                <w:bCs/>
                <w:lang w:val="en-US"/>
              </w:rPr>
              <w:t>a.</w:t>
            </w:r>
            <w:r w:rsidRPr="00910C05">
              <w:rPr>
                <w:rFonts w:cs="Calibri"/>
                <w:lang w:val="en-US"/>
              </w:rPr>
              <w:t xml:space="preserve"> </w:t>
            </w:r>
            <w:r w:rsidRPr="00910C05">
              <w:rPr>
                <w:rFonts w:eastAsia="Times New Roman" w:cs="Calibri"/>
                <w:i/>
                <w:iCs/>
                <w:lang w:val="en-US"/>
              </w:rPr>
              <w:t>Inte</w:t>
            </w:r>
            <w:r w:rsidRPr="00910C05">
              <w:rPr>
                <w:rFonts w:eastAsia="Times New Roman" w:cs="Calibri"/>
                <w:i/>
                <w:iCs/>
              </w:rPr>
              <w:t>raction between research and teaching at all three levels (BSc, MSc, PhD) of education</w:t>
            </w:r>
            <w:r w:rsidRPr="00910C05">
              <w:rPr>
                <w:rFonts w:cs="Calibri"/>
              </w:rPr>
              <w:t xml:space="preserve"> </w:t>
            </w:r>
          </w:p>
          <w:p w14:paraId="4AA455A2" w14:textId="77777777" w:rsidR="00910C05" w:rsidRPr="00910C05" w:rsidRDefault="00910C05" w:rsidP="00910C05">
            <w:pPr>
              <w:jc w:val="both"/>
              <w:rPr>
                <w:lang w:val="en-US"/>
              </w:rPr>
            </w:pPr>
            <w:r w:rsidRPr="00910C05">
              <w:rPr>
                <w:lang w:val="en-US"/>
              </w:rPr>
              <w:t xml:space="preserve">Teaching and research at the Energy Technology department are strongly connected and complementing each other. This is reflected by work duties of staff at the department, which are typically a mix of research and teaching responsibilities.Senior staff who are </w:t>
            </w:r>
            <w:r w:rsidRPr="00910C05">
              <w:rPr>
                <w:lang w:val="en-US"/>
              </w:rPr>
              <w:lastRenderedPageBreak/>
              <w:t xml:space="preserve">following the tenure track  are required to actively seek funding for new research ideas where they supervise PhD students and manage research projects, they also act as examiners of courses on the graduate and undergraduate levels. Additionally, employed PhD students are required to spend twenty percent of their time on departmental duties, which are dominantly teaching duties. The staff with mixed research and teaching duties is an important component in the interaction between research and teaching, it is first hand research in the hands of teachers. </w:t>
            </w:r>
          </w:p>
          <w:p w14:paraId="1D760268" w14:textId="77777777" w:rsidR="00910C05" w:rsidRPr="00910C05" w:rsidRDefault="00910C05" w:rsidP="00910C05">
            <w:pPr>
              <w:jc w:val="both"/>
              <w:rPr>
                <w:b/>
                <w:lang w:val="en-US"/>
              </w:rPr>
            </w:pPr>
            <w:r w:rsidRPr="00910C05">
              <w:rPr>
                <w:b/>
                <w:lang w:val="en-US"/>
              </w:rPr>
              <w:t>Undergraduate level:</w:t>
            </w:r>
          </w:p>
          <w:p w14:paraId="534703C8" w14:textId="77777777" w:rsidR="00910C05" w:rsidRPr="00910C05" w:rsidRDefault="00910C05" w:rsidP="00910C05">
            <w:pPr>
              <w:jc w:val="both"/>
              <w:rPr>
                <w:lang w:val="en-US"/>
              </w:rPr>
            </w:pPr>
            <w:r w:rsidRPr="00910C05">
              <w:rPr>
                <w:lang w:val="en-US"/>
              </w:rPr>
              <w:t xml:space="preserve">The interaction of research and teaching is applied in different forms at different study levels. Starting from the early years of undergraduate education where the students are taught the fundamentals, they are also presented with relevant research by inviting speakers from different departments at KTH, for example in courses MJ1104 and MJ1145. This helps the students to relate the fundamentals they study to applied science. </w:t>
            </w:r>
          </w:p>
          <w:p w14:paraId="6668EBBE" w14:textId="77777777" w:rsidR="00910C05" w:rsidRPr="00910C05" w:rsidRDefault="00910C05" w:rsidP="00910C05">
            <w:pPr>
              <w:jc w:val="both"/>
              <w:rPr>
                <w:lang w:val="en-US"/>
              </w:rPr>
            </w:pPr>
            <w:r w:rsidRPr="00910C05">
              <w:rPr>
                <w:lang w:val="en-US"/>
              </w:rPr>
              <w:t>The students are also given tasks, small projects, in the courses where they apply their knowledge and at the same time connect to research aspects at the department; for instance, in a course we offer for first year students (MJ1104) the students are required to work in groups to build (this year) a smart solar car. In one of the aspects in this project, the students have to use a 3D printer, which is recently installed in our laboratory; this will expose the students to the environment of a research laboratory and use one of our advanced equipment at very early stages of their studies.</w:t>
            </w:r>
          </w:p>
          <w:p w14:paraId="6228BAED" w14:textId="77777777" w:rsidR="00910C05" w:rsidRPr="00910C05" w:rsidRDefault="00910C05" w:rsidP="00910C05">
            <w:pPr>
              <w:jc w:val="both"/>
              <w:rPr>
                <w:lang w:val="en-US"/>
              </w:rPr>
            </w:pPr>
            <w:r w:rsidRPr="00910C05">
              <w:rPr>
                <w:lang w:val="en-US"/>
              </w:rPr>
              <w:t xml:space="preserve">Study visits are important to show the students how the fundamental knowledge they study can be applied in cutting-edge technology and research, for example, in the undergraduate course MJ1141 the students visit the Live-in Lab which includes testbeds for increased innovation in the construction and real estate sector.  </w:t>
            </w:r>
          </w:p>
          <w:p w14:paraId="4F980D4F" w14:textId="77777777" w:rsidR="00910C05" w:rsidRPr="00910C05" w:rsidRDefault="00910C05" w:rsidP="00910C05">
            <w:pPr>
              <w:jc w:val="both"/>
              <w:rPr>
                <w:lang w:val="en-US"/>
              </w:rPr>
            </w:pPr>
            <w:r w:rsidRPr="00910C05">
              <w:rPr>
                <w:lang w:val="en-US"/>
              </w:rPr>
              <w:t>Research topics and tools are introduced to students through large assignments and in project courses. In an assignment in course MJ1141 the students are asked to work in groups to develop a new business idea/model with an external partner trying to be at the forefront of energy and digitalization. Major companies have been involved: Akademiska Hus in 2019, Telia in 2018, and Vattenfall in 2017.</w:t>
            </w:r>
          </w:p>
          <w:p w14:paraId="1743692B" w14:textId="77777777" w:rsidR="00910C05" w:rsidRPr="00910C05" w:rsidRDefault="00910C05" w:rsidP="00910C05">
            <w:pPr>
              <w:jc w:val="both"/>
              <w:rPr>
                <w:lang w:val="en-US"/>
              </w:rPr>
            </w:pPr>
            <w:r w:rsidRPr="00910C05">
              <w:rPr>
                <w:lang w:val="en-US"/>
              </w:rPr>
              <w:t xml:space="preserve">In a project course on the undergraduate level MJ1432, the students work on topics related to energy integration and sustainability. Work is focused on applications, to explore and acquire deeper knowledge and skills in certain technologies relevant to their specific project. A student published a paper as first author in Gustav Lorentzen conference in 2018 based on the project work done in this course. </w:t>
            </w:r>
          </w:p>
          <w:p w14:paraId="10264574" w14:textId="77777777" w:rsidR="00910C05" w:rsidRPr="00910C05" w:rsidRDefault="00910C05" w:rsidP="00910C05">
            <w:pPr>
              <w:jc w:val="both"/>
              <w:rPr>
                <w:lang w:val="en-US"/>
              </w:rPr>
            </w:pPr>
            <w:r w:rsidRPr="00910C05">
              <w:rPr>
                <w:lang w:val="en-US"/>
              </w:rPr>
              <w:t xml:space="preserve">By gradually applying the different interaction activities between research and teaching on the undergraduate level the students are well prepared to conduct their degree thesis which is usually directly connected to ongoing research at the department and supervised by senior staff and PhD students. An example of an ongoing degree project is analyzing field measurement data of a ground source heat pump in connection to ongoing research on aquifer system, the responsible PhD student is supervising the students. </w:t>
            </w:r>
          </w:p>
          <w:p w14:paraId="27433AC6" w14:textId="77777777" w:rsidR="00910C05" w:rsidRPr="00910C05" w:rsidRDefault="00910C05" w:rsidP="00910C05">
            <w:pPr>
              <w:jc w:val="both"/>
              <w:rPr>
                <w:b/>
                <w:lang w:val="en-US"/>
              </w:rPr>
            </w:pPr>
            <w:r w:rsidRPr="00910C05">
              <w:rPr>
                <w:b/>
                <w:lang w:val="en-US"/>
              </w:rPr>
              <w:lastRenderedPageBreak/>
              <w:t>Graduate level:</w:t>
            </w:r>
          </w:p>
          <w:p w14:paraId="59328A48" w14:textId="77777777" w:rsidR="00910C05" w:rsidRPr="00910C05" w:rsidRDefault="00910C05" w:rsidP="00910C05">
            <w:pPr>
              <w:jc w:val="both"/>
              <w:rPr>
                <w:lang w:val="en-US"/>
              </w:rPr>
            </w:pPr>
            <w:r w:rsidRPr="00910C05">
              <w:rPr>
                <w:lang w:val="en-US"/>
              </w:rPr>
              <w:t xml:space="preserve">On the graduate level students have strong background which allows for wider interaction between research and teaching. In our main master program in sustainable energy engineering dedicated courses to prepare the students to conduct research in their degree project are obligatory, the courses are: Theory and Methodology of Science for Energy Research, Measurement Techniques in Energy Technology, and Applied Energy Technology – Project Course. In the project course the students work in groups in projects defined and supervised by our teachers and PhD students, which are usually topics related to ongoing research activities at the department, or exploring new research areas. </w:t>
            </w:r>
          </w:p>
          <w:p w14:paraId="02EFC985" w14:textId="77777777" w:rsidR="00910C05" w:rsidRPr="00910C05" w:rsidRDefault="00910C05" w:rsidP="00910C05">
            <w:pPr>
              <w:jc w:val="both"/>
              <w:rPr>
                <w:lang w:val="en-US"/>
              </w:rPr>
            </w:pPr>
            <w:r w:rsidRPr="00910C05">
              <w:rPr>
                <w:lang w:val="en-US"/>
              </w:rPr>
              <w:t>Other mandatory courses in the study profiles the students chose are problem solving oriented, applied, or of project nature. The courses typically have laboratory work, study visits, and use of several calculation tools and software that we use in our everyday research.</w:t>
            </w:r>
          </w:p>
          <w:p w14:paraId="4412B33B" w14:textId="77777777" w:rsidR="00910C05" w:rsidRPr="00910C05" w:rsidRDefault="00910C05" w:rsidP="00910C05">
            <w:pPr>
              <w:jc w:val="both"/>
              <w:rPr>
                <w:lang w:val="en-US"/>
              </w:rPr>
            </w:pPr>
            <w:r w:rsidRPr="00910C05">
              <w:rPr>
                <w:lang w:val="en-US"/>
              </w:rPr>
              <w:t xml:space="preserve">An example of study profile courses is MJ2380 where basics of energy systems modelling (literature background, definitions, and scope of modelling) that underpin our research are taught. The students learn how to apply the modelling tool OSeMOSYS as we do in our research projects and we explain the structure of a linear program like OSeMOSYS and ask the students to reproduce it, so that a path may open to them to become developers of the tool. The students then </w:t>
            </w:r>
            <w:r w:rsidRPr="00910C05">
              <w:rPr>
                <w:color w:val="000000"/>
                <w:lang w:val="en-US"/>
              </w:rPr>
              <w:t>create detailed energy systems models of developing countries, mainly in Asia and in Africa, which will form the database for all our modelling projects and capacity building activities in the same regions.</w:t>
            </w:r>
          </w:p>
          <w:p w14:paraId="1C72B5F4" w14:textId="77777777" w:rsidR="00910C05" w:rsidRPr="00910C05" w:rsidRDefault="00910C05" w:rsidP="00910C05">
            <w:pPr>
              <w:jc w:val="both"/>
              <w:rPr>
                <w:lang w:val="en-US"/>
              </w:rPr>
            </w:pPr>
            <w:r w:rsidRPr="00910C05">
              <w:rPr>
                <w:lang w:val="en-US"/>
              </w:rPr>
              <w:t xml:space="preserve">Along with the mandatory courses the students are offered several elective courses in the last semester before they start with their degree project, these courses are on advanced level and typically formulated from our research. For example, MJ2434 has an assignment where the students study and analyze the performance of energy systems in two supermarkets using field measurement data from a research project we had, they need to compare the systems and suggest improvements. Additionally, study visit to our laboratory is organized in the course to explain the relevant ongoing research projects.  </w:t>
            </w:r>
          </w:p>
          <w:p w14:paraId="77BB221C" w14:textId="77777777" w:rsidR="00910C05" w:rsidRPr="00910C05" w:rsidRDefault="00910C05" w:rsidP="00910C05">
            <w:pPr>
              <w:jc w:val="both"/>
              <w:rPr>
                <w:lang w:val="en-US"/>
              </w:rPr>
            </w:pPr>
            <w:r w:rsidRPr="00910C05">
              <w:rPr>
                <w:lang w:val="en-US"/>
              </w:rPr>
              <w:t>The master thesis project is the largest research task the students conduct individually, the following is two points from the intended learning outcome from a thesis work:</w:t>
            </w:r>
          </w:p>
          <w:p w14:paraId="61188F85" w14:textId="77777777" w:rsidR="00910C05" w:rsidRPr="00910C05" w:rsidRDefault="00910C05" w:rsidP="003A09D8">
            <w:pPr>
              <w:numPr>
                <w:ilvl w:val="0"/>
                <w:numId w:val="32"/>
              </w:numPr>
              <w:spacing w:after="160" w:line="259" w:lineRule="auto"/>
              <w:contextualSpacing/>
              <w:jc w:val="both"/>
              <w:rPr>
                <w:rFonts w:eastAsia="Calibri" w:cs="Calibri"/>
                <w:szCs w:val="24"/>
                <w:lang w:val="en-US" w:eastAsia="sv-SE"/>
              </w:rPr>
            </w:pPr>
            <w:r w:rsidRPr="00910C05">
              <w:rPr>
                <w:rFonts w:eastAsia="Calibri" w:cs="Calibri"/>
                <w:szCs w:val="24"/>
                <w:lang w:val="en-US" w:eastAsia="sv-SE"/>
              </w:rPr>
              <w:t>Demonstrate knowledge and understanding of the scientific foundation and best practices for the chosen subject, as well as an advanced understanding in current research and development, and in-depth knowledge of methodology.</w:t>
            </w:r>
          </w:p>
          <w:p w14:paraId="0646CB32" w14:textId="77777777" w:rsidR="00910C05" w:rsidRPr="00910C05" w:rsidRDefault="00910C05" w:rsidP="003A09D8">
            <w:pPr>
              <w:numPr>
                <w:ilvl w:val="0"/>
                <w:numId w:val="32"/>
              </w:numPr>
              <w:spacing w:after="160" w:line="259" w:lineRule="auto"/>
              <w:contextualSpacing/>
              <w:jc w:val="both"/>
              <w:rPr>
                <w:rFonts w:eastAsia="Calibri" w:cs="Calibri"/>
                <w:szCs w:val="24"/>
                <w:lang w:val="en-US" w:eastAsia="sv-SE"/>
              </w:rPr>
            </w:pPr>
            <w:r w:rsidRPr="00910C05">
              <w:rPr>
                <w:rFonts w:eastAsia="Calibri" w:cs="Calibri"/>
                <w:szCs w:val="24"/>
                <w:lang w:val="en-US" w:eastAsia="sv-SE"/>
              </w:rPr>
              <w:t>Demonstrate the ability to search, gather and integrate knowledge and identify their need for additional knowledge, all with a holistic, critical and systematic work approach.</w:t>
            </w:r>
          </w:p>
          <w:p w14:paraId="64EDE387" w14:textId="77777777" w:rsidR="00910C05" w:rsidRPr="00910C05" w:rsidRDefault="00910C05" w:rsidP="00910C05">
            <w:pPr>
              <w:jc w:val="both"/>
              <w:rPr>
                <w:lang w:val="en-US"/>
              </w:rPr>
            </w:pPr>
            <w:r w:rsidRPr="00910C05">
              <w:rPr>
                <w:lang w:val="en-US"/>
              </w:rPr>
              <w:t xml:space="preserve">PhD students are the most involved in hands-on research, in 2019, PhD students supervised 18 master thesis projects directly related to their research, where some of the master thesis projects lead to conference or journal paper publications. Only in the area of natural refrigerants, 1 paper based on master thesis work have been published </w:t>
            </w:r>
            <w:r w:rsidRPr="00910C05">
              <w:rPr>
                <w:lang w:val="en-US"/>
              </w:rPr>
              <w:lastRenderedPageBreak/>
              <w:t xml:space="preserve">in Gustav Lorentzen conference in 2014, 2 papers in 2016, and 1 paper in 2018. All those papers are with the master thesis students as the first author. </w:t>
            </w:r>
          </w:p>
          <w:p w14:paraId="153E8BE3" w14:textId="77777777" w:rsidR="00910C05" w:rsidRPr="00910C05" w:rsidRDefault="00910C05" w:rsidP="00910C05">
            <w:pPr>
              <w:jc w:val="both"/>
              <w:rPr>
                <w:b/>
                <w:lang w:val="en-US"/>
              </w:rPr>
            </w:pPr>
            <w:r w:rsidRPr="00910C05">
              <w:rPr>
                <w:b/>
                <w:lang w:val="en-US"/>
              </w:rPr>
              <w:t>Effect of the interaction on teaching and research:</w:t>
            </w:r>
          </w:p>
          <w:p w14:paraId="1B892EC7" w14:textId="77777777" w:rsidR="00910C05" w:rsidRPr="00910C05" w:rsidRDefault="00910C05" w:rsidP="00910C05">
            <w:pPr>
              <w:jc w:val="both"/>
              <w:rPr>
                <w:lang w:val="en-US"/>
              </w:rPr>
            </w:pPr>
            <w:r w:rsidRPr="00910C05">
              <w:rPr>
                <w:lang w:val="en-US"/>
              </w:rPr>
              <w:t xml:space="preserve">The students benefit by seeing how the fundamentals and theoretical knowledge they learn in the classroom can be applied at higher level and what are the key questions for research for future development. This also helps the student to identify what are the interesting topics they can work with in the future. </w:t>
            </w:r>
          </w:p>
          <w:p w14:paraId="78D43B51" w14:textId="77777777" w:rsidR="00910C05" w:rsidRPr="00910C05" w:rsidRDefault="00910C05" w:rsidP="00910C05">
            <w:pPr>
              <w:jc w:val="both"/>
              <w:rPr>
                <w:lang w:val="en-US"/>
              </w:rPr>
            </w:pPr>
            <w:r w:rsidRPr="00910C05">
              <w:rPr>
                <w:lang w:val="en-US"/>
              </w:rPr>
              <w:t>Connecting teaching to research during the graduate and undergraduate studies prepares the students for the research tasks in the degree projects, which will make the supervisors work less demanding and more interesting by focusing on research methodology and results.</w:t>
            </w:r>
          </w:p>
          <w:p w14:paraId="00F48705" w14:textId="77777777" w:rsidR="00910C05" w:rsidRPr="00910C05" w:rsidRDefault="00910C05" w:rsidP="00910C05">
            <w:pPr>
              <w:jc w:val="both"/>
              <w:rPr>
                <w:lang w:val="en-US"/>
              </w:rPr>
            </w:pPr>
            <w:r w:rsidRPr="00910C05">
              <w:rPr>
                <w:lang w:val="en-US"/>
              </w:rPr>
              <w:t xml:space="preserve">The effect on research is mainly by the further use of research results produced by students in project work and degree projects. All master thesis projects are published with open access at our library database, DIVA, where some of the thesis reports are downloaded hundreds of times and referred to in journal and conference papers. </w:t>
            </w:r>
          </w:p>
          <w:p w14:paraId="3FEC7035" w14:textId="77777777" w:rsidR="00910C05" w:rsidRPr="00910C05" w:rsidRDefault="00910C05" w:rsidP="00910C05">
            <w:pPr>
              <w:jc w:val="both"/>
              <w:rPr>
                <w:lang w:val="en-US"/>
              </w:rPr>
            </w:pPr>
            <w:r w:rsidRPr="00910C05">
              <w:rPr>
                <w:lang w:val="en-US"/>
              </w:rPr>
              <w:t xml:space="preserve">When the researchers act as teachers to present their work to the students they will have to adapt their message to the audience, so it should be on a certain level of complexity and connected to the fundamentals, the researchers will also have to show the value of their work in the big picture. This is usually a challenge for the researchers because research results are usually communicated between researchers at similar level of knowledge. </w:t>
            </w:r>
          </w:p>
          <w:p w14:paraId="6C996D3B" w14:textId="77777777" w:rsidR="00910C05" w:rsidRPr="00910C05" w:rsidRDefault="00910C05" w:rsidP="00910C05">
            <w:pPr>
              <w:jc w:val="both"/>
              <w:rPr>
                <w:b/>
                <w:lang w:val="en-US"/>
              </w:rPr>
            </w:pPr>
            <w:r w:rsidRPr="00910C05">
              <w:rPr>
                <w:b/>
                <w:lang w:val="en-US"/>
              </w:rPr>
              <w:t xml:space="preserve">PhD level: </w:t>
            </w:r>
          </w:p>
          <w:p w14:paraId="55005CC7" w14:textId="77777777" w:rsidR="00910C05" w:rsidRPr="00910C05" w:rsidRDefault="00910C05" w:rsidP="00910C05">
            <w:pPr>
              <w:spacing w:after="0"/>
              <w:jc w:val="both"/>
              <w:rPr>
                <w:rFonts w:eastAsia="Times New Roman" w:cs="Calibri"/>
                <w:lang w:val="en-US"/>
              </w:rPr>
            </w:pPr>
            <w:r w:rsidRPr="00910C05">
              <w:rPr>
                <w:rFonts w:eastAsia="Times New Roman" w:cs="Calibri"/>
                <w:lang w:val="en-US"/>
              </w:rPr>
              <w:t>In MJ3122 (research seminar): The objective of the research seminars is that students actively participate in the presentation of their research results as well as other PhD students and master students thesis.  Students are supposed to actively participate in following:</w:t>
            </w:r>
          </w:p>
          <w:p w14:paraId="09F43150" w14:textId="77777777" w:rsidR="00910C05" w:rsidRPr="00910C05" w:rsidRDefault="00910C05" w:rsidP="003A09D8">
            <w:pPr>
              <w:numPr>
                <w:ilvl w:val="0"/>
                <w:numId w:val="33"/>
              </w:numPr>
              <w:spacing w:after="0" w:line="259" w:lineRule="auto"/>
              <w:contextualSpacing/>
              <w:jc w:val="both"/>
              <w:rPr>
                <w:rFonts w:eastAsia="Calibri" w:cs="Calibri"/>
                <w:szCs w:val="24"/>
                <w:lang w:val="en-US" w:eastAsia="sv-SE"/>
              </w:rPr>
            </w:pPr>
            <w:r w:rsidRPr="00910C05">
              <w:rPr>
                <w:rFonts w:eastAsia="Calibri" w:cs="Calibri"/>
                <w:szCs w:val="24"/>
                <w:lang w:val="en-US" w:eastAsia="sv-SE"/>
              </w:rPr>
              <w:t>Presentation of their own research (all published conference and journal papers) which is corresponding to one week working load.</w:t>
            </w:r>
          </w:p>
          <w:p w14:paraId="78147691" w14:textId="77777777" w:rsidR="00910C05" w:rsidRPr="00910C05" w:rsidRDefault="00910C05" w:rsidP="003A09D8">
            <w:pPr>
              <w:numPr>
                <w:ilvl w:val="0"/>
                <w:numId w:val="33"/>
              </w:numPr>
              <w:spacing w:after="0" w:line="259" w:lineRule="auto"/>
              <w:contextualSpacing/>
              <w:jc w:val="both"/>
              <w:rPr>
                <w:rFonts w:eastAsia="Calibri" w:cs="Calibri"/>
                <w:szCs w:val="24"/>
                <w:lang w:val="en-US" w:eastAsia="sv-SE"/>
              </w:rPr>
            </w:pPr>
            <w:r w:rsidRPr="00910C05">
              <w:rPr>
                <w:rFonts w:eastAsia="Calibri" w:cs="Calibri"/>
                <w:szCs w:val="24"/>
                <w:lang w:val="en-US" w:eastAsia="sv-SE"/>
              </w:rPr>
              <w:t>Participation of other PhD students presentations, corresponding to one week working load.</w:t>
            </w:r>
          </w:p>
          <w:p w14:paraId="441594D5" w14:textId="77777777" w:rsidR="00910C05" w:rsidRPr="00910C05" w:rsidRDefault="00910C05" w:rsidP="003A09D8">
            <w:pPr>
              <w:numPr>
                <w:ilvl w:val="0"/>
                <w:numId w:val="33"/>
              </w:numPr>
              <w:spacing w:after="0" w:line="259" w:lineRule="auto"/>
              <w:contextualSpacing/>
              <w:jc w:val="both"/>
              <w:rPr>
                <w:rFonts w:eastAsia="Calibri" w:cs="Calibri"/>
                <w:szCs w:val="24"/>
                <w:lang w:val="en-US" w:eastAsia="sv-SE"/>
              </w:rPr>
            </w:pPr>
            <w:r w:rsidRPr="00910C05">
              <w:rPr>
                <w:rFonts w:eastAsia="Calibri" w:cs="Calibri"/>
                <w:szCs w:val="24"/>
                <w:lang w:val="en-US" w:eastAsia="sv-SE"/>
              </w:rPr>
              <w:t>Participation of master thesis presentations, corresponding to one week working load.</w:t>
            </w:r>
          </w:p>
          <w:p w14:paraId="0AFB8879" w14:textId="77777777" w:rsidR="00910C05" w:rsidRPr="00910C05" w:rsidRDefault="00910C05" w:rsidP="00910C05">
            <w:pPr>
              <w:spacing w:after="0"/>
              <w:jc w:val="both"/>
              <w:rPr>
                <w:rFonts w:eastAsia="Times New Roman" w:cs="Calibri"/>
                <w:szCs w:val="24"/>
                <w:lang w:val="en-US"/>
              </w:rPr>
            </w:pPr>
            <w:r w:rsidRPr="00910C05">
              <w:rPr>
                <w:rFonts w:eastAsia="Times New Roman" w:cs="Calibri"/>
                <w:szCs w:val="24"/>
                <w:lang w:val="en-US"/>
              </w:rPr>
              <w:t xml:space="preserve">In the PhD course Heat Transfer, MJ3114, examples from the department’s research related to heat transfer is presented, e.g. development of micro channel heat exchangers, heat transfer in nanofluids, different types of enhanced heat transfer, heat transfer in boiling. </w:t>
            </w:r>
          </w:p>
          <w:p w14:paraId="6EAF3C4E" w14:textId="77777777" w:rsidR="00910C05" w:rsidRPr="00910C05" w:rsidRDefault="00910C05" w:rsidP="00910C05">
            <w:pPr>
              <w:spacing w:after="0"/>
              <w:jc w:val="both"/>
              <w:rPr>
                <w:rFonts w:eastAsia="Times New Roman" w:cs="Calibri"/>
                <w:szCs w:val="24"/>
                <w:lang w:val="en-US"/>
              </w:rPr>
            </w:pPr>
            <w:r w:rsidRPr="00910C05">
              <w:rPr>
                <w:rFonts w:eastAsia="Times New Roman" w:cs="Calibri"/>
                <w:szCs w:val="24"/>
                <w:lang w:val="en-US"/>
              </w:rPr>
              <w:t xml:space="preserve">The students are also asked to present their own research related to heat transfer to the rest of the students in the course. In some cases, the students have been offered supervision on selected topics related to heat transfer from their own projects, but this has not been a formal part of the requirements. </w:t>
            </w:r>
          </w:p>
          <w:p w14:paraId="53A97EEF" w14:textId="77777777" w:rsidR="00910C05" w:rsidRPr="00910C05" w:rsidRDefault="00910C05" w:rsidP="00910C05">
            <w:pPr>
              <w:spacing w:after="0"/>
              <w:jc w:val="both"/>
              <w:rPr>
                <w:rFonts w:eastAsia="Times New Roman" w:cs="Calibri"/>
                <w:lang w:val="en-US"/>
              </w:rPr>
            </w:pPr>
            <w:r w:rsidRPr="00910C05">
              <w:rPr>
                <w:rFonts w:eastAsia="Times New Roman" w:cs="Calibri"/>
                <w:lang w:val="en-US"/>
              </w:rPr>
              <w:t xml:space="preserve">MJ3116 Thermodynamics: The course is given in the form of 8 seminars. During four seminars students present thermodynamic theory by reading course book and scientific </w:t>
            </w:r>
            <w:r w:rsidRPr="00910C05">
              <w:rPr>
                <w:rFonts w:eastAsia="Times New Roman" w:cs="Calibri"/>
                <w:lang w:val="en-US"/>
              </w:rPr>
              <w:lastRenderedPageBreak/>
              <w:t xml:space="preserve">journal papers and during the three following seminars, students are working with the application of thermodynamic theory to their project. Also participants are working on a conference or a journal paper. In a final seminar each of the students deepens a topic relevant to their PhD research project in the form of a 30-40 min recorded lecture. </w:t>
            </w:r>
          </w:p>
          <w:p w14:paraId="287787BE" w14:textId="77777777" w:rsidR="00910C05" w:rsidRPr="00910C05" w:rsidRDefault="00910C05" w:rsidP="00910C05">
            <w:pPr>
              <w:spacing w:after="0"/>
              <w:jc w:val="both"/>
              <w:rPr>
                <w:rFonts w:eastAsia="Times New Roman" w:cs="Calibri"/>
                <w:szCs w:val="24"/>
                <w:lang w:val="en-US"/>
              </w:rPr>
            </w:pPr>
            <w:r w:rsidRPr="00910C05">
              <w:rPr>
                <w:rFonts w:eastAsia="Times New Roman" w:cs="Calibri"/>
                <w:szCs w:val="24"/>
                <w:lang w:val="en-US"/>
              </w:rPr>
              <w:t>In the PhD course MJ3336 Educational Aspects in Energy Technology, research background, state of the art and research focuses are being made into learning materials by the course participants as final deliverable to the course. This trains the participants’ pedagogical aspects in conveying research outcome in a fashion that can be understood by all who are outside the participants’ field of research. The materials created by the course participants are furthermore utilized in MSc level teaching as course materials.</w:t>
            </w:r>
          </w:p>
          <w:p w14:paraId="0C9F539A" w14:textId="77777777" w:rsidR="00910C05" w:rsidRPr="00910C05" w:rsidRDefault="00910C05" w:rsidP="00910C05">
            <w:pPr>
              <w:spacing w:after="0"/>
              <w:jc w:val="both"/>
              <w:rPr>
                <w:rFonts w:eastAsia="Times New Roman" w:cs="Calibri"/>
                <w:szCs w:val="24"/>
                <w:lang w:val="en-US"/>
              </w:rPr>
            </w:pPr>
          </w:p>
          <w:p w14:paraId="5756EAAC" w14:textId="77777777" w:rsidR="00910C05" w:rsidRPr="00910C05" w:rsidRDefault="00910C05" w:rsidP="00910C05">
            <w:pPr>
              <w:spacing w:after="0"/>
              <w:jc w:val="both"/>
              <w:rPr>
                <w:rFonts w:eastAsia="Times New Roman" w:cs="Calibri"/>
                <w:lang w:val="en-US"/>
              </w:rPr>
            </w:pPr>
            <w:r w:rsidRPr="00910C05">
              <w:rPr>
                <w:rFonts w:eastAsia="Times New Roman" w:cs="Calibri"/>
                <w:lang w:val="en-US"/>
              </w:rPr>
              <w:t xml:space="preserve">In all PhD courses students are supposed to read current available literature in the field of the given course and relate it to their PhD project. </w:t>
            </w:r>
          </w:p>
          <w:p w14:paraId="3C75BD60" w14:textId="77777777" w:rsidR="00910C05" w:rsidRPr="00910C05" w:rsidRDefault="00910C05" w:rsidP="00910C05">
            <w:pPr>
              <w:spacing w:after="0"/>
              <w:rPr>
                <w:rFonts w:eastAsia="Times New Roman" w:cs="Calibri"/>
                <w:lang w:val="en-US"/>
              </w:rPr>
            </w:pPr>
          </w:p>
        </w:tc>
      </w:tr>
    </w:tbl>
    <w:p w14:paraId="63409992" w14:textId="77777777" w:rsidR="00910C05" w:rsidRPr="00910C05" w:rsidRDefault="00910C05" w:rsidP="00910C05">
      <w:pPr>
        <w:spacing w:after="0"/>
        <w:rPr>
          <w:rFonts w:cs="Calibri"/>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10C05" w:rsidRPr="00910C05" w14:paraId="655CEDAA" w14:textId="77777777" w:rsidTr="00D874A5">
        <w:tc>
          <w:tcPr>
            <w:tcW w:w="8789" w:type="dxa"/>
            <w:shd w:val="clear" w:color="auto" w:fill="D9D9D9" w:themeFill="background1" w:themeFillShade="D9"/>
          </w:tcPr>
          <w:p w14:paraId="4050586C" w14:textId="77777777" w:rsidR="00910C05" w:rsidRPr="00910C05" w:rsidRDefault="00910C05" w:rsidP="00910C05">
            <w:pPr>
              <w:keepNext/>
              <w:keepLines/>
              <w:spacing w:after="0"/>
              <w:outlineLvl w:val="1"/>
              <w:rPr>
                <w:rFonts w:asciiTheme="majorHAnsi" w:eastAsiaTheme="majorEastAsia" w:hAnsiTheme="majorHAnsi" w:cs="Calibri"/>
                <w:b/>
                <w:bCs/>
                <w:szCs w:val="24"/>
              </w:rPr>
            </w:pPr>
            <w:r w:rsidRPr="00910C05">
              <w:rPr>
                <w:rFonts w:eastAsiaTheme="majorEastAsia" w:cs="Calibri"/>
                <w:b/>
                <w:bCs/>
                <w:szCs w:val="24"/>
              </w:rPr>
              <w:t>6. Impact and engagement in society</w:t>
            </w:r>
          </w:p>
        </w:tc>
      </w:tr>
      <w:tr w:rsidR="00910C05" w:rsidRPr="00910C05" w14:paraId="7F9B7A90" w14:textId="77777777" w:rsidTr="00D874A5">
        <w:tc>
          <w:tcPr>
            <w:tcW w:w="8789" w:type="dxa"/>
          </w:tcPr>
          <w:p w14:paraId="39168912" w14:textId="77777777" w:rsidR="00910C05" w:rsidRPr="00910C05" w:rsidRDefault="00910C05" w:rsidP="00910C05">
            <w:pPr>
              <w:spacing w:after="120"/>
              <w:rPr>
                <w:rFonts w:cs="Calibri"/>
                <w:i/>
                <w:w w:val="105"/>
                <w:szCs w:val="24"/>
              </w:rPr>
            </w:pPr>
            <w:r w:rsidRPr="00910C05">
              <w:rPr>
                <w:rFonts w:cs="Calibri"/>
                <w:b/>
                <w:bCs/>
                <w:w w:val="105"/>
              </w:rPr>
              <w:t>a.</w:t>
            </w:r>
            <w:r w:rsidRPr="00910C05">
              <w:rPr>
                <w:rFonts w:cs="Calibri"/>
                <w:i/>
                <w:iCs/>
                <w:w w:val="105"/>
              </w:rPr>
              <w:t xml:space="preserve"> Relevance of research to society at large </w:t>
            </w:r>
          </w:p>
          <w:p w14:paraId="30954A1C" w14:textId="77777777" w:rsidR="00910C05" w:rsidRPr="00910C05" w:rsidRDefault="00910C05" w:rsidP="00910C05">
            <w:pPr>
              <w:spacing w:after="0"/>
            </w:pPr>
            <w:r w:rsidRPr="00910C05">
              <w:rPr>
                <w:rFonts w:eastAsia="Calibri" w:cs="Calibri"/>
              </w:rPr>
              <w:t xml:space="preserve">The Department is almost completely focused on applied research related to the ongoing transition of the energy system from being dependent on fossil fuels to the use of renewable energy sources. This transition towards a more sustainable use of energy requires increased energy efficiency in all processes, both for power generation/use and for heating purposes. We can also expect a higher reliance on electricity as energy carrier as a larger share of the energy supply will be from wind and solar. These energy sources are intermittent, and for this reason energy storage, both of heat and power, will be an important research topic in the years to come. The transition of the energy system is global, but the challenges and the necessary technology development may be partly different in different regions of the world. The research at the department is supporting the transition in many different ways, and is directed both towards more general questions, of interest for planners and policymakers, and towards development of new technology which, in shorter or longer perspectives is of importance to different parts of the industry. </w:t>
            </w:r>
          </w:p>
          <w:p w14:paraId="6A48F474" w14:textId="77777777" w:rsidR="00910C05" w:rsidRPr="00910C05" w:rsidRDefault="00910C05" w:rsidP="00910C05">
            <w:pPr>
              <w:spacing w:after="0"/>
            </w:pPr>
            <w:r w:rsidRPr="00910C05">
              <w:rPr>
                <w:rFonts w:eastAsia="Calibri" w:cs="Calibri"/>
                <w:szCs w:val="24"/>
              </w:rPr>
              <w:t xml:space="preserve">A number of impact cases are described elsewhere, and will not be repeated here. Instead, several examples of ongoing and recent research projects will be briefly described to point out the relevance of the research to the society at large. </w:t>
            </w:r>
          </w:p>
          <w:p w14:paraId="0BD6EFA5" w14:textId="77777777" w:rsidR="00910C05" w:rsidRPr="00910C05" w:rsidRDefault="00910C05" w:rsidP="00910C05">
            <w:pPr>
              <w:spacing w:after="0"/>
            </w:pPr>
            <w:r w:rsidRPr="00910C05">
              <w:rPr>
                <w:rFonts w:eastAsia="Calibri" w:cs="Calibri"/>
                <w:szCs w:val="24"/>
              </w:rPr>
              <w:t xml:space="preserve"> </w:t>
            </w:r>
          </w:p>
          <w:p w14:paraId="4FB436D3" w14:textId="77777777" w:rsidR="00910C05" w:rsidRPr="00910C05" w:rsidRDefault="00910C05" w:rsidP="00910C05">
            <w:pPr>
              <w:spacing w:after="0"/>
            </w:pPr>
            <w:r w:rsidRPr="00910C05">
              <w:rPr>
                <w:rFonts w:eastAsia="Calibri" w:cs="Calibri"/>
                <w:szCs w:val="24"/>
              </w:rPr>
              <w:t xml:space="preserve">Several projects at the department are based on the open source software developed at the department, related to evaluation of different options for expanding the energy infrastructure in developing countries, or how to use the existing resources in terms of land, energy and water considering the climate challenges. Most of these projects are financed by governments or international organizations such as the UN, World Bank, African Development Bank or individual governments. Other projects in this group have been related to the use of city waste or residues from e.g. sugar industry for power generation, focusing more on policies and institutional hindrances than on the technology per se. Such projects have been financed e.g. by the Swedish International Development Cooperation Agency (SIDA). </w:t>
            </w:r>
          </w:p>
          <w:p w14:paraId="4FA82B19" w14:textId="77777777" w:rsidR="00910C05" w:rsidRPr="00910C05" w:rsidRDefault="00910C05" w:rsidP="00910C05">
            <w:pPr>
              <w:spacing w:after="0"/>
            </w:pPr>
            <w:r w:rsidRPr="00910C05">
              <w:rPr>
                <w:rFonts w:eastAsia="Calibri" w:cs="Calibri"/>
                <w:szCs w:val="24"/>
              </w:rPr>
              <w:lastRenderedPageBreak/>
              <w:t>Other projects have been related to policies and technology for urban mass transport systems. In particular, a relatively large project, running since several years, is focusing on bus transport the city of Curitiba in Brazil.</w:t>
            </w:r>
          </w:p>
          <w:p w14:paraId="018A2DE3" w14:textId="77777777" w:rsidR="00910C05" w:rsidRPr="00910C05" w:rsidRDefault="00910C05" w:rsidP="00910C05">
            <w:pPr>
              <w:spacing w:after="0"/>
            </w:pPr>
          </w:p>
          <w:p w14:paraId="2D0EFBBD" w14:textId="77777777" w:rsidR="00910C05" w:rsidRPr="00910C05" w:rsidRDefault="00910C05" w:rsidP="00910C05">
            <w:pPr>
              <w:spacing w:after="0"/>
            </w:pPr>
            <w:r w:rsidRPr="00910C05">
              <w:rPr>
                <w:rFonts w:eastAsia="Calibri" w:cs="Calibri"/>
                <w:szCs w:val="24"/>
              </w:rPr>
              <w:t xml:space="preserve">Concentrating solar power has been in focus in a number of projects. These projects have been investigating both the receiver design and the possibility of high temperature energy storage in order to allow power production also during night. A large experimental facility is in operation in the lab for testing receivers. These projects are mainly financed by the Swedish Energy Agency. </w:t>
            </w:r>
          </w:p>
          <w:p w14:paraId="32DC43D3" w14:textId="77777777" w:rsidR="00910C05" w:rsidRPr="00910C05" w:rsidRDefault="00910C05" w:rsidP="00910C05">
            <w:pPr>
              <w:spacing w:after="0"/>
            </w:pPr>
            <w:r w:rsidRPr="00910C05">
              <w:rPr>
                <w:rFonts w:eastAsia="Calibri" w:cs="Calibri"/>
                <w:szCs w:val="24"/>
              </w:rPr>
              <w:t xml:space="preserve">Biofuels is another focus area at the department. Some projects have focused on the design of heat engines (gas turbines or stirling engines) which can be used for small scale power production in rural areas of developing countries. Biofuels for jet engines has also been investigated. In the lab, the company Swedish Biofuels has been allowed to set up a small pilot plant for such fuels. </w:t>
            </w:r>
          </w:p>
          <w:p w14:paraId="4722C38A" w14:textId="77777777" w:rsidR="00910C05" w:rsidRPr="00910C05" w:rsidRDefault="00910C05" w:rsidP="00910C05">
            <w:pPr>
              <w:spacing w:after="0"/>
            </w:pPr>
            <w:r w:rsidRPr="00910C05">
              <w:rPr>
                <w:rFonts w:eastAsia="Calibri" w:cs="Calibri"/>
                <w:szCs w:val="24"/>
              </w:rPr>
              <w:t xml:space="preserve">By tradition, gas turbines have been one of the most prominent focus areas at the department. The research has been performed in cooperation with large companies like Siemens and Rolls Royce and financed through the Swedish Energy Agency. The overall aim of the research has been to increase the reliability and safety, and to increase the energy efficiency of the machines. </w:t>
            </w:r>
          </w:p>
          <w:p w14:paraId="1BB46B13" w14:textId="77777777" w:rsidR="00910C05" w:rsidRPr="00910C05" w:rsidRDefault="00910C05" w:rsidP="00910C05">
            <w:pPr>
              <w:spacing w:after="0"/>
            </w:pPr>
            <w:r w:rsidRPr="00910C05">
              <w:rPr>
                <w:rFonts w:eastAsia="Calibri" w:cs="Calibri"/>
                <w:szCs w:val="24"/>
              </w:rPr>
              <w:t xml:space="preserve">A large share of the projects at the Department are related to energy transfer and energy conversion in cities and the built environment. One particular topic is related to simulation of the energy network of cities, including both district heating and electricity, considering production facilities, like co-generation plants, small prosumers, heat pumps, and uses such as heating of buildings, charging of electric vehicles, electricity use in homes and offices. A key question for this and other projects is how to ensure stable power supply at all conditions, e.g. through load shifting or energy storage. </w:t>
            </w:r>
          </w:p>
          <w:p w14:paraId="737C8347" w14:textId="77777777" w:rsidR="00910C05" w:rsidRPr="00910C05" w:rsidRDefault="00910C05" w:rsidP="00910C05">
            <w:pPr>
              <w:spacing w:after="0"/>
            </w:pPr>
          </w:p>
          <w:p w14:paraId="0AC530A9" w14:textId="77777777" w:rsidR="00910C05" w:rsidRPr="00910C05" w:rsidRDefault="00910C05" w:rsidP="00910C05">
            <w:pPr>
              <w:spacing w:after="0"/>
            </w:pPr>
            <w:r w:rsidRPr="00910C05">
              <w:rPr>
                <w:rFonts w:eastAsia="Calibri" w:cs="Calibri"/>
                <w:szCs w:val="24"/>
              </w:rPr>
              <w:t xml:space="preserve">Closely related are projects on energy storage. Several such projects have been, and are being, performed at the department, mostly related to heat storage. One focus area in this field is phase change materials (PCM). Projects have been related both to fundamental questions related to new PCMs, better understanding of their properties and understanding of the heat transfer properties to/from the PCMs during phase change. Other projects have been related to the use of these materials in heating systems of buildings. Suppliers of PCMs as well as system design companies have been involved in these projects, financed by the EU or by Swedish authorities, e.g. the Swedish Energy Agency. </w:t>
            </w:r>
          </w:p>
          <w:p w14:paraId="49E86C3B" w14:textId="77777777" w:rsidR="00910C05" w:rsidRPr="00910C05" w:rsidRDefault="00910C05" w:rsidP="00910C05">
            <w:pPr>
              <w:spacing w:after="0"/>
            </w:pPr>
            <w:r w:rsidRPr="00910C05">
              <w:rPr>
                <w:rFonts w:eastAsia="Calibri" w:cs="Calibri"/>
                <w:szCs w:val="24"/>
              </w:rPr>
              <w:t xml:space="preserve">An area for which the department has been well recognized since long is research related to heat pumping technology, i.e. refrigeration systems and heat pump systems. The department has close cooperation with both national and international companies within the area, such as IVT/Bosch, NIBE, Thermia, Danfoss, Electrolux. Research topics cover all areas from design of components, e.g. heat exchangers, to systems design, e.g. combination of heat pumps with solar power, to energy systems level, i.e. how to use heat pumps for load shifting. This research is typically financed by the Swedish Energy Agency and the EU, but other national sources, like Mistra, Vinnova and Formas have also been supporting the research. </w:t>
            </w:r>
          </w:p>
          <w:p w14:paraId="748CED0C" w14:textId="77777777" w:rsidR="00910C05" w:rsidRPr="00910C05" w:rsidRDefault="00910C05" w:rsidP="00910C05">
            <w:pPr>
              <w:spacing w:after="0"/>
            </w:pPr>
            <w:r w:rsidRPr="00910C05">
              <w:rPr>
                <w:rFonts w:eastAsia="Calibri" w:cs="Calibri"/>
                <w:szCs w:val="24"/>
              </w:rPr>
              <w:lastRenderedPageBreak/>
              <w:t xml:space="preserve">In almost all projects financed by Swedish national authorities it is a requirement that industry is involved. This means that the department is constantly cooperating with about 100 companies in the ongoing projects. </w:t>
            </w:r>
          </w:p>
          <w:p w14:paraId="5D6EC87D" w14:textId="77777777" w:rsidR="00910C05" w:rsidRPr="00910C05" w:rsidRDefault="00910C05" w:rsidP="00910C05">
            <w:pPr>
              <w:spacing w:after="0"/>
              <w:rPr>
                <w:rFonts w:cs="Calibri"/>
                <w:w w:val="105"/>
              </w:rPr>
            </w:pPr>
            <w:r w:rsidRPr="00910C05">
              <w:rPr>
                <w:rFonts w:eastAsia="Calibri" w:cs="Calibri"/>
                <w:szCs w:val="24"/>
              </w:rPr>
              <w:t xml:space="preserve">The examples given above show clearly the relevance of the research at the Department to the society at large as well as to industry, policy makers, planners and businesses. It should be pointed out that the research at the department has always been applied, and directed towards answering needs from industry and the society at large. However, the threat from global warming has engaged the staff and focused the research towards finding solutions leading to a sustainable future. </w:t>
            </w:r>
          </w:p>
          <w:p w14:paraId="7E0E493C" w14:textId="77777777" w:rsidR="00910C05" w:rsidRPr="00910C05" w:rsidRDefault="00910C05" w:rsidP="00910C05">
            <w:pPr>
              <w:spacing w:after="0"/>
              <w:rPr>
                <w:rFonts w:cs="Calibri"/>
                <w:b/>
                <w:iCs/>
                <w:w w:val="105"/>
                <w:szCs w:val="24"/>
              </w:rPr>
            </w:pPr>
          </w:p>
          <w:p w14:paraId="051C7D3C" w14:textId="77777777" w:rsidR="00910C05" w:rsidRPr="00910C05" w:rsidRDefault="00910C05" w:rsidP="00910C05">
            <w:pPr>
              <w:spacing w:after="120"/>
              <w:rPr>
                <w:rFonts w:cs="Calibri"/>
                <w:i/>
                <w:w w:val="105"/>
                <w:szCs w:val="24"/>
              </w:rPr>
            </w:pPr>
            <w:r w:rsidRPr="00910C05">
              <w:rPr>
                <w:rFonts w:cs="Calibri"/>
                <w:b/>
                <w:w w:val="105"/>
                <w:szCs w:val="24"/>
              </w:rPr>
              <w:t>b.</w:t>
            </w:r>
            <w:r w:rsidRPr="00910C05">
              <w:rPr>
                <w:rFonts w:cs="Calibri"/>
                <w:i/>
                <w:w w:val="105"/>
                <w:szCs w:val="24"/>
              </w:rPr>
              <w:t xml:space="preserve"> Research dissemination beyond academia</w:t>
            </w:r>
          </w:p>
          <w:p w14:paraId="30FD12C8" w14:textId="77777777" w:rsidR="00910C05" w:rsidRPr="00910C05" w:rsidRDefault="00910C05" w:rsidP="00910C05">
            <w:pPr>
              <w:spacing w:after="0"/>
              <w:rPr>
                <w:rFonts w:cs="Calibri"/>
                <w:i/>
                <w:iCs/>
                <w:lang w:val="en-US"/>
              </w:rPr>
            </w:pPr>
            <w:r w:rsidRPr="00910C05">
              <w:rPr>
                <w:rFonts w:eastAsia="Calibri" w:cs="Calibri"/>
                <w:szCs w:val="24"/>
              </w:rPr>
              <w:t>Some examples of the department’s outreach in society are listed below:</w:t>
            </w:r>
          </w:p>
          <w:p w14:paraId="77C64E08" w14:textId="77777777" w:rsidR="00910C05" w:rsidRPr="00910C05" w:rsidRDefault="00910C05" w:rsidP="003A09D8">
            <w:pPr>
              <w:numPr>
                <w:ilvl w:val="0"/>
                <w:numId w:val="26"/>
              </w:numPr>
              <w:spacing w:after="0"/>
              <w:contextualSpacing/>
              <w:rPr>
                <w:rFonts w:asciiTheme="minorHAnsi" w:eastAsiaTheme="minorEastAsia" w:hAnsiTheme="minorHAnsi"/>
                <w:i/>
                <w:iCs/>
                <w:szCs w:val="24"/>
                <w:lang w:val="en-US" w:eastAsia="sv-SE"/>
              </w:rPr>
            </w:pPr>
            <w:r w:rsidRPr="00910C05">
              <w:rPr>
                <w:rFonts w:eastAsia="Calibri" w:cs="Calibri"/>
                <w:szCs w:val="24"/>
                <w:lang w:eastAsia="sv-SE"/>
              </w:rPr>
              <w:t>Networks with industry and branch organization are numerous and broad. More than 100 companies, from SME to major corporations, are a part of these networks. Routes of cooperation include: companies participating in national and international projects; companies tasking commissioned research or seeking advice; and researcher participation in branch organizations.</w:t>
            </w:r>
          </w:p>
          <w:p w14:paraId="0DAC7EC6" w14:textId="77777777" w:rsidR="00910C05" w:rsidRPr="00910C05" w:rsidRDefault="00910C05" w:rsidP="003A09D8">
            <w:pPr>
              <w:numPr>
                <w:ilvl w:val="0"/>
                <w:numId w:val="26"/>
              </w:numPr>
              <w:spacing w:after="0"/>
              <w:contextualSpacing/>
              <w:rPr>
                <w:rFonts w:asciiTheme="minorHAnsi" w:eastAsiaTheme="minorEastAsia" w:hAnsiTheme="minorHAnsi"/>
                <w:i/>
                <w:iCs/>
                <w:szCs w:val="24"/>
                <w:lang w:val="en-US" w:eastAsia="sv-SE"/>
              </w:rPr>
            </w:pPr>
            <w:r w:rsidRPr="00910C05">
              <w:rPr>
                <w:rFonts w:eastAsia="Calibri" w:cs="Calibri"/>
                <w:szCs w:val="24"/>
                <w:lang w:eastAsia="sv-SE"/>
              </w:rPr>
              <w:t>Dissemination of knowledge to industry and society is enabled in a variety of channels: newsletters; branch journals (including a regular column in journal ‘Kyla&amp;Värme’); participation in seminars and conferences; webpages; webinars; publication of textbooks and tables.</w:t>
            </w:r>
          </w:p>
          <w:p w14:paraId="2D881AC4" w14:textId="77777777" w:rsidR="00910C05" w:rsidRPr="00910C05" w:rsidRDefault="00910C05" w:rsidP="003A09D8">
            <w:pPr>
              <w:numPr>
                <w:ilvl w:val="0"/>
                <w:numId w:val="26"/>
              </w:numPr>
              <w:spacing w:after="0"/>
              <w:contextualSpacing/>
              <w:rPr>
                <w:rFonts w:asciiTheme="minorHAnsi" w:eastAsiaTheme="minorEastAsia" w:hAnsiTheme="minorHAnsi"/>
                <w:i/>
                <w:iCs/>
                <w:szCs w:val="24"/>
                <w:lang w:val="en-US" w:eastAsia="sv-SE"/>
              </w:rPr>
            </w:pPr>
            <w:r w:rsidRPr="00910C05">
              <w:rPr>
                <w:rFonts w:eastAsia="Calibri" w:cs="Calibri"/>
                <w:szCs w:val="24"/>
                <w:lang w:eastAsia="sv-SE"/>
              </w:rPr>
              <w:t>MSc and PhD graduates have found placement at key industries in Sweden and abroad.</w:t>
            </w:r>
          </w:p>
          <w:p w14:paraId="5977AAD1" w14:textId="77777777" w:rsidR="00910C05" w:rsidRPr="00910C05" w:rsidRDefault="00910C05" w:rsidP="003A09D8">
            <w:pPr>
              <w:numPr>
                <w:ilvl w:val="0"/>
                <w:numId w:val="26"/>
              </w:numPr>
              <w:spacing w:after="0"/>
              <w:contextualSpacing/>
              <w:rPr>
                <w:rFonts w:asciiTheme="minorHAnsi" w:eastAsiaTheme="minorEastAsia" w:hAnsiTheme="minorHAnsi"/>
                <w:i/>
                <w:iCs/>
                <w:szCs w:val="24"/>
                <w:lang w:val="en-US" w:eastAsia="sv-SE"/>
              </w:rPr>
            </w:pPr>
            <w:r w:rsidRPr="00910C05">
              <w:rPr>
                <w:rFonts w:eastAsia="Calibri" w:cs="Calibri"/>
                <w:szCs w:val="24"/>
                <w:lang w:eastAsia="sv-SE"/>
              </w:rPr>
              <w:t>Researchers have participated in writing responses to the Swedish government, and have contributed to reformulating international standards in refrigeration, biofuels, and other topics.</w:t>
            </w:r>
          </w:p>
          <w:p w14:paraId="5EE0F70E" w14:textId="77777777" w:rsidR="00910C05" w:rsidRPr="00910C05" w:rsidRDefault="00910C05" w:rsidP="003A09D8">
            <w:pPr>
              <w:numPr>
                <w:ilvl w:val="0"/>
                <w:numId w:val="26"/>
              </w:numPr>
              <w:spacing w:after="0"/>
              <w:contextualSpacing/>
              <w:rPr>
                <w:rFonts w:asciiTheme="minorHAnsi" w:eastAsiaTheme="minorEastAsia" w:hAnsiTheme="minorHAnsi"/>
                <w:i/>
                <w:iCs/>
                <w:szCs w:val="24"/>
                <w:lang w:val="en-US" w:eastAsia="sv-SE"/>
              </w:rPr>
            </w:pPr>
            <w:r w:rsidRPr="00910C05">
              <w:rPr>
                <w:rFonts w:eastAsia="Calibri" w:cs="Calibri"/>
                <w:szCs w:val="24"/>
                <w:lang w:eastAsia="sv-SE"/>
              </w:rPr>
              <w:t>Engagement in working groups (IIR, IEA, ISES) and project workshops with the goal to raise energy issues to relevant policy-makers.</w:t>
            </w:r>
          </w:p>
          <w:p w14:paraId="7772B9D6" w14:textId="77777777" w:rsidR="00910C05" w:rsidRPr="00910C05" w:rsidRDefault="00910C05" w:rsidP="003A09D8">
            <w:pPr>
              <w:numPr>
                <w:ilvl w:val="0"/>
                <w:numId w:val="26"/>
              </w:numPr>
              <w:spacing w:after="0"/>
              <w:contextualSpacing/>
              <w:rPr>
                <w:rFonts w:asciiTheme="minorHAnsi" w:eastAsiaTheme="minorEastAsia" w:hAnsiTheme="minorHAnsi"/>
                <w:i/>
                <w:iCs/>
                <w:szCs w:val="24"/>
                <w:lang w:val="en-US" w:eastAsia="sv-SE"/>
              </w:rPr>
            </w:pPr>
            <w:r w:rsidRPr="00910C05">
              <w:rPr>
                <w:rFonts w:eastAsia="Calibri" w:cs="Calibri"/>
                <w:szCs w:val="24"/>
                <w:lang w:eastAsia="sv-SE"/>
              </w:rPr>
              <w:t>Commissioned education for providing training to practicing engineers (e.g. Scania AB and Siemens Industrial Turbines AB), hosting of mid-career managers in the annual ECATA Aerospace Business Integration program.</w:t>
            </w:r>
          </w:p>
          <w:p w14:paraId="07503A36" w14:textId="77777777" w:rsidR="00910C05" w:rsidRPr="00910C05" w:rsidRDefault="00910C05" w:rsidP="003A09D8">
            <w:pPr>
              <w:numPr>
                <w:ilvl w:val="0"/>
                <w:numId w:val="26"/>
              </w:numPr>
              <w:spacing w:after="0"/>
              <w:contextualSpacing/>
              <w:rPr>
                <w:rFonts w:asciiTheme="minorHAnsi" w:eastAsiaTheme="minorEastAsia" w:hAnsiTheme="minorHAnsi"/>
                <w:i/>
                <w:iCs/>
                <w:szCs w:val="24"/>
                <w:lang w:val="en-US" w:eastAsia="sv-SE"/>
              </w:rPr>
            </w:pPr>
            <w:r w:rsidRPr="00910C05">
              <w:rPr>
                <w:rFonts w:eastAsia="Calibri" w:cs="Calibri"/>
                <w:szCs w:val="24"/>
                <w:lang w:eastAsia="sv-SE"/>
              </w:rPr>
              <w:t>The high quality of experimental facilities has attracted visits from industry and society. For example the solar simulator has hosted visits from the Swedish Prime Minister, other government ministers, and the King of Sweden. (Press coverage accompanied these visits.)</w:t>
            </w:r>
          </w:p>
          <w:p w14:paraId="2BD5D9A6" w14:textId="77777777" w:rsidR="00910C05" w:rsidRPr="00910C05" w:rsidRDefault="00910C05" w:rsidP="003A09D8">
            <w:pPr>
              <w:numPr>
                <w:ilvl w:val="0"/>
                <w:numId w:val="26"/>
              </w:numPr>
              <w:spacing w:after="0"/>
              <w:contextualSpacing/>
              <w:rPr>
                <w:rFonts w:asciiTheme="minorHAnsi" w:eastAsiaTheme="minorEastAsia" w:hAnsiTheme="minorHAnsi"/>
                <w:i/>
                <w:iCs/>
                <w:w w:val="105"/>
                <w:szCs w:val="24"/>
                <w:lang w:val="en-US" w:eastAsia="sv-SE"/>
              </w:rPr>
            </w:pPr>
            <w:r w:rsidRPr="00910C05">
              <w:rPr>
                <w:rFonts w:eastAsia="Calibri" w:cs="Calibri"/>
                <w:szCs w:val="24"/>
                <w:lang w:eastAsia="sv-SE"/>
              </w:rPr>
              <w:t>Researchers have been interviewed in media: Björn Laumert, Swedish television; Viktoria Martin, Swedish radio.</w:t>
            </w:r>
          </w:p>
          <w:p w14:paraId="460B7957" w14:textId="77777777" w:rsidR="00910C05" w:rsidRPr="00910C05" w:rsidRDefault="00910C05" w:rsidP="00910C05">
            <w:pPr>
              <w:spacing w:after="0"/>
              <w:rPr>
                <w:rFonts w:eastAsia="Calibri" w:cs="Calibri"/>
                <w:szCs w:val="24"/>
              </w:rPr>
            </w:pPr>
            <w:r w:rsidRPr="00910C05">
              <w:rPr>
                <w:rFonts w:eastAsia="Calibri" w:cs="Calibri"/>
                <w:szCs w:val="24"/>
              </w:rPr>
              <w:t>These activities are linked to individual researchers or to groups within one of the divisions. Up until now there has not been a common strategy for communicating the department’s output to industry and society.</w:t>
            </w:r>
          </w:p>
          <w:p w14:paraId="413AD5BF" w14:textId="77777777" w:rsidR="00910C05" w:rsidRPr="00910C05" w:rsidRDefault="00910C05" w:rsidP="00910C05">
            <w:pPr>
              <w:spacing w:after="0"/>
              <w:rPr>
                <w:rFonts w:eastAsia="Calibri" w:cs="Calibri"/>
                <w:sz w:val="21"/>
                <w:szCs w:val="21"/>
              </w:rPr>
            </w:pPr>
          </w:p>
          <w:p w14:paraId="0926E3BF" w14:textId="77777777" w:rsidR="00910C05" w:rsidRPr="00910C05" w:rsidRDefault="00910C05" w:rsidP="00910C05">
            <w:pPr>
              <w:spacing w:after="120"/>
              <w:rPr>
                <w:rFonts w:cs="Calibri"/>
                <w:w w:val="105"/>
                <w:szCs w:val="24"/>
              </w:rPr>
            </w:pPr>
            <w:r w:rsidRPr="00910C05">
              <w:rPr>
                <w:rFonts w:cs="Calibri"/>
                <w:b/>
                <w:w w:val="105"/>
                <w:szCs w:val="24"/>
              </w:rPr>
              <w:t>c.</w:t>
            </w:r>
            <w:r w:rsidRPr="00910C05">
              <w:rPr>
                <w:rFonts w:cs="Calibri"/>
                <w:w w:val="105"/>
                <w:szCs w:val="24"/>
              </w:rPr>
              <w:t xml:space="preserve"> </w:t>
            </w:r>
            <w:r w:rsidRPr="00910C05">
              <w:rPr>
                <w:rFonts w:cs="Calibri"/>
                <w:i/>
                <w:w w:val="105"/>
                <w:szCs w:val="24"/>
              </w:rPr>
              <w:t>Sustainability</w:t>
            </w:r>
            <w:r w:rsidRPr="00910C05">
              <w:t xml:space="preserve"> </w:t>
            </w:r>
            <w:r w:rsidRPr="00910C05">
              <w:rPr>
                <w:rFonts w:cs="Calibri"/>
                <w:i/>
                <w:w w:val="105"/>
                <w:szCs w:val="24"/>
              </w:rPr>
              <w:t>and the United Nations’ Sustainable Development Goals (SDG)</w:t>
            </w:r>
          </w:p>
          <w:p w14:paraId="33FBC452" w14:textId="77777777" w:rsidR="00910C05" w:rsidRPr="00910C05" w:rsidRDefault="00910C05" w:rsidP="00910C05">
            <w:pPr>
              <w:spacing w:after="0"/>
              <w:rPr>
                <w:rFonts w:eastAsia="Calibri" w:cs="Calibri"/>
                <w:color w:val="000000" w:themeColor="text1"/>
                <w:w w:val="105"/>
              </w:rPr>
            </w:pPr>
            <w:r w:rsidRPr="00910C05">
              <w:rPr>
                <w:rFonts w:eastAsia="Calibri" w:cs="Calibri"/>
              </w:rPr>
              <w:t xml:space="preserve">Perhaps at no time in recent history has world faced twin challenges of changing energy resource base and the effects of climate change due to increase concentration of CO2 in atmosphere. The use of fossil fuels, together with other human activities, has led to increased carbon dioxide content in the atmosphere and thus a warmer climate. The </w:t>
            </w:r>
            <w:r w:rsidRPr="00910C05">
              <w:rPr>
                <w:rFonts w:eastAsia="Calibri" w:cs="Calibri"/>
              </w:rPr>
              <w:lastRenderedPageBreak/>
              <w:t xml:space="preserve">research within the Department of Energy Technology aims to contribute to solving the above-mentioned problems. The research can span a wide range, including both overall system studies and the development of components for parts of the energy system and studies of phenomena and processes that occur in energy conversions. Education and research for Sustainable Development in a PhD context requires means of holistic thinking that rarely was present in PhD studies before. This holds especially true for PhD students coming from traditional engineering sciences. The first dimension of sustainability such as “Environmental sustainability” where managing the effects of human activity so that they do not harm the natural environment is well integrated at the Energy Technology Department in both research and education in undergraduate and post-graduate activities, e.g. by Technology development, system analysis and policy development at the Department of Energy Technology. Activities at three divisions of Energy Department regarding sustainability are connected and complementing each other. The goal is to provide knowledge of multidimensional approach to sustainable development in order to a technology, business and community to be truly sustainable. The main focus is on the role of technology, planning and policy of energy to help enable planet’s sustainable development. It is in this context of activities that the research and education takes place and has impact. Almost all doctoral projects within the doctoral program Energy and environmental systems are in some way linked to sustainable development and this is included in all courses offered within the program. In order to cover any shortcomings in knowledge acquisition about sustainable development, the department, together with other institutions at the ITM school, is preparing a doctoral course on sustainable development with the following content: (The text below is from the course syllabus):“Course name: Sustainability perspectives for assessing and designing research, projects and policies Course objectives: The course focuses on the main interlinkages between their student's research and broader Sustainable Development. The course will be composed of a mix of lectures and hands-on exercises to relate the student's research topic to the Sustainable Development Goals. One of the course output will be on applying tools to evaluate the sustainability implications of the participant's own PhD topic. One of the course output will be giving PhD students the tools to evaluate the sustainability implications of their PhD, that can be then used to fill the e-ISP.” Some action items regarding Sustainable Development at department of Energy Technology are:-All PhD students should be able to discuss and explain how knowledge in the field of energy technology can be used to contribute to the development of an Environmental, Economic, and social/cultural sustainability.-All PhD students shall have sustainable development as part or main theme in their PhD studies.-All PhD students should have courses/course on sustainable development.-In addition, opportunities for further deepening in the field should be reinforced through the program's courses.-Doctoral students shall be encouraged and prepared to participate in external conferences and seminars where issues of sustainable development are discussed.-Above actions will be checked in eISP and Advanced Review of the thesis (förhandsgranskning). Doctoral students shall be encouraged and prepared to attend courses, conferences and seminars in which issues of sustainable development are discussed. The 17 goals and 169 targets of sustainable development provide a vision and a definition of sustainable development. PhD students should use following link to identify the goal/goals and targets related to their project and </w:t>
            </w:r>
            <w:r w:rsidRPr="00910C05">
              <w:rPr>
                <w:rFonts w:eastAsia="Calibri" w:cs="Calibri"/>
              </w:rPr>
              <w:lastRenderedPageBreak/>
              <w:t>reflect/comment at “10. Degree objectives” at C2 in the e-ISP. This has been implemented at the e-ISP from September 2019. It means that all PhD students should reflect on, at least one of 17 sustainability global goals related to the PhD thesis. Participation in courses, conferences and seminars related to sustainable development should be given at the e-ISP as well. The used link is below:https://sustainabledevelopment.un.org</w:t>
            </w:r>
          </w:p>
          <w:p w14:paraId="5CA73E87" w14:textId="77777777" w:rsidR="00910C05" w:rsidRPr="00910C05" w:rsidRDefault="00910C05" w:rsidP="00910C05">
            <w:pPr>
              <w:spacing w:after="0"/>
              <w:rPr>
                <w:rFonts w:eastAsia="Calibri" w:cs="Calibri"/>
                <w:b/>
                <w:bCs/>
                <w:szCs w:val="24"/>
              </w:rPr>
            </w:pPr>
          </w:p>
          <w:p w14:paraId="1716987D" w14:textId="77777777" w:rsidR="00910C05" w:rsidRPr="00910C05" w:rsidRDefault="00910C05" w:rsidP="00910C05">
            <w:pPr>
              <w:spacing w:after="120"/>
              <w:rPr>
                <w:rFonts w:cs="Calibri"/>
                <w:i/>
                <w:szCs w:val="24"/>
              </w:rPr>
            </w:pPr>
            <w:r w:rsidRPr="00910C05">
              <w:rPr>
                <w:rFonts w:cs="Calibri"/>
                <w:b/>
                <w:bCs/>
              </w:rPr>
              <w:t>d.</w:t>
            </w:r>
            <w:r w:rsidRPr="00910C05">
              <w:rPr>
                <w:rFonts w:cs="Calibri"/>
                <w:i/>
                <w:iCs/>
              </w:rPr>
              <w:t xml:space="preserve"> Impact cases </w:t>
            </w:r>
          </w:p>
          <w:p w14:paraId="58E4A5E9" w14:textId="77777777" w:rsidR="00910C05" w:rsidRPr="00910C05" w:rsidRDefault="00910C05" w:rsidP="00910C05">
            <w:pPr>
              <w:spacing w:after="0"/>
              <w:rPr>
                <w:rFonts w:cs="Calibri"/>
                <w:b/>
                <w:bCs/>
                <w:sz w:val="26"/>
                <w:szCs w:val="26"/>
                <w:lang w:val="en-US"/>
              </w:rPr>
            </w:pPr>
            <w:r w:rsidRPr="00910C05">
              <w:rPr>
                <w:rFonts w:eastAsia="Times New Roman" w:cs="Calibri"/>
                <w:b/>
                <w:bCs/>
                <w:sz w:val="26"/>
                <w:szCs w:val="26"/>
              </w:rPr>
              <w:t xml:space="preserve">Case I: </w:t>
            </w:r>
            <w:r w:rsidRPr="00910C05">
              <w:rPr>
                <w:rFonts w:cs="Calibri"/>
                <w:b/>
                <w:bCs/>
                <w:sz w:val="26"/>
                <w:szCs w:val="26"/>
                <w:lang w:val="en-US"/>
              </w:rPr>
              <w:t>Enabling electricity access to the nearly 1 billion people still lacking it</w:t>
            </w:r>
          </w:p>
          <w:p w14:paraId="56BDC5D1" w14:textId="77777777" w:rsidR="00910C05" w:rsidRPr="00910C05" w:rsidRDefault="00910C05" w:rsidP="00910C05">
            <w:pPr>
              <w:spacing w:after="0"/>
              <w:rPr>
                <w:rFonts w:cs="Calibri"/>
                <w:b/>
                <w:bCs/>
                <w:sz w:val="26"/>
                <w:szCs w:val="26"/>
                <w:lang w:val="en-US"/>
              </w:rPr>
            </w:pPr>
          </w:p>
          <w:p w14:paraId="495ACB87" w14:textId="77777777" w:rsidR="00910C05" w:rsidRPr="00910C05" w:rsidRDefault="00910C05" w:rsidP="00910C05">
            <w:pPr>
              <w:spacing w:after="0" w:line="259" w:lineRule="auto"/>
              <w:rPr>
                <w:rFonts w:cs="Calibri"/>
                <w:lang w:val="en-US"/>
              </w:rPr>
            </w:pPr>
            <w:r w:rsidRPr="00910C05">
              <w:rPr>
                <w:rFonts w:cs="Calibri"/>
                <w:lang w:val="en-US"/>
              </w:rPr>
              <w:t xml:space="preserve"> </w:t>
            </w:r>
            <w:r w:rsidRPr="00910C05">
              <w:rPr>
                <w:rFonts w:cs="Calibri"/>
                <w:b/>
                <w:bCs/>
                <w:lang w:val="en-US"/>
              </w:rPr>
              <w:t xml:space="preserve">KTH has developed one ofthe most used electrification tools in the world </w:t>
            </w:r>
            <w:r w:rsidRPr="00910C05">
              <w:br/>
            </w:r>
            <w:r w:rsidRPr="00910C05">
              <w:rPr>
                <w:rFonts w:cs="Calibri"/>
                <w:b/>
                <w:bCs/>
                <w:lang w:val="en-US"/>
              </w:rPr>
              <w:t xml:space="preserve">– a support for government and international organizations in their decision making when providing rural/urban areas with electricity. </w:t>
            </w:r>
          </w:p>
          <w:p w14:paraId="3B3EC366"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71DAF339" w14:textId="77777777" w:rsidR="00910C05" w:rsidRPr="00910C05" w:rsidRDefault="00910C05" w:rsidP="00910C05">
            <w:pPr>
              <w:spacing w:after="0" w:line="259" w:lineRule="auto"/>
              <w:rPr>
                <w:rFonts w:cs="Calibri"/>
                <w:lang w:val="en-US"/>
              </w:rPr>
            </w:pPr>
            <w:r w:rsidRPr="00910C05">
              <w:rPr>
                <w:rFonts w:cs="Calibri"/>
                <w:lang w:val="en-US"/>
              </w:rPr>
              <w:t>The tool called Open Source Spatial Electrification Tool (OnSSET) facilitates the comparison of electrification options for electricity access, such as on and off grid, and powered by renewable and fossil fuels. The tool explores electrification investment scenarios to facilitate data-driven decisions to scale up electrification efforts.  The tool has been used by several governments in low- and middle- income countries for electrification planning, in conjunction with a variety of international organizations working on energy access, such as the UN, the World Bank and the International Energy Agency.</w:t>
            </w:r>
          </w:p>
          <w:p w14:paraId="77B1C35F" w14:textId="77777777" w:rsidR="00910C05" w:rsidRPr="00910C05" w:rsidRDefault="00910C05" w:rsidP="00910C05">
            <w:pPr>
              <w:spacing w:after="0" w:line="259" w:lineRule="auto"/>
              <w:rPr>
                <w:rFonts w:cs="Calibri"/>
                <w:lang w:val="en-US"/>
              </w:rPr>
            </w:pPr>
          </w:p>
          <w:p w14:paraId="79A1027A" w14:textId="77777777" w:rsidR="00910C05" w:rsidRPr="00910C05" w:rsidRDefault="00910C05" w:rsidP="00910C05">
            <w:pPr>
              <w:spacing w:after="0" w:line="259" w:lineRule="auto"/>
              <w:rPr>
                <w:rFonts w:cs="Calibri"/>
                <w:lang w:val="en-US"/>
              </w:rPr>
            </w:pPr>
            <w:r w:rsidRPr="00910C05">
              <w:rPr>
                <w:rFonts w:cs="Calibri"/>
                <w:lang w:val="en-US"/>
              </w:rPr>
              <w:t xml:space="preserve"> The tool has resulted in a number of high-level policy impacts around the world, including:</w:t>
            </w:r>
          </w:p>
          <w:p w14:paraId="30E902F9"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7623DFA6" w14:textId="77777777" w:rsidR="00910C05" w:rsidRPr="00910C05" w:rsidRDefault="00910C05" w:rsidP="003A09D8">
            <w:pPr>
              <w:numPr>
                <w:ilvl w:val="0"/>
                <w:numId w:val="25"/>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Being at the basis of the World Bank´s Global Electrification Platform (GEP). The OnSSET tool was used to generate 216 electrification investment scenarios per country for ~60 countries in sub-Saharan Africa, Central America and Asia and the Pacific. This makes the GEP the most comprehensive platform available to date for data on electrification pathways. </w:t>
            </w:r>
          </w:p>
          <w:p w14:paraId="5947D14C" w14:textId="77777777" w:rsidR="00910C05" w:rsidRPr="00910C05" w:rsidRDefault="00910C05" w:rsidP="003A09D8">
            <w:pPr>
              <w:numPr>
                <w:ilvl w:val="0"/>
                <w:numId w:val="25"/>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In total, more than 100 participants from ~30 countries have attended KTH-led OnSSET trainings, mainly coming from energy ministries and national power utilities but also from universities and development organizations. In 2018 and 2019 KTH staff attended as trainers on the Summer School on Modelling Tools for Sustainable Development in Trieste and the Energy Modelling Platform for Africa which was held in Ethiopia in 2018 and in South Africa in 2019. These capacity-building events are part of an ongoing effort by development organizations (and KTH) to build local electrification modelling capacity. This enables long-term sustainability in electrification planning and makes planning more affordable as dependence on international consultants is reduced.</w:t>
            </w:r>
          </w:p>
          <w:p w14:paraId="33354353" w14:textId="77777777" w:rsidR="00910C05" w:rsidRPr="00910C05" w:rsidRDefault="00910C05" w:rsidP="003A09D8">
            <w:pPr>
              <w:numPr>
                <w:ilvl w:val="0"/>
                <w:numId w:val="25"/>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Being featured in the International Energy Agency’s World Energy Outlooks 2014, 2015, 2017 and 2019 . The WEO is the IEA’s flagship publication and has a </w:t>
            </w:r>
            <w:r w:rsidRPr="00910C05">
              <w:rPr>
                <w:rFonts w:eastAsia="Calibri" w:cs="Calibri"/>
                <w:szCs w:val="24"/>
                <w:lang w:val="en-US" w:eastAsia="sv-SE"/>
              </w:rPr>
              <w:lastRenderedPageBreak/>
              <w:t>global reach - and is widely considered as ´the gold standard´of energy data and systems analyses.</w:t>
            </w:r>
          </w:p>
          <w:p w14:paraId="1D64A484" w14:textId="77777777" w:rsidR="00910C05" w:rsidRPr="00910C05" w:rsidRDefault="00910C05" w:rsidP="003A09D8">
            <w:pPr>
              <w:numPr>
                <w:ilvl w:val="0"/>
                <w:numId w:val="25"/>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A scientific paper was published in Nature Energy looking at the effects of achieving universal access to energy services on the achievement of the Sustainable Development Goals. The work has high citations (100+), has reached 200000 + people through twitter, and has been featured in the Global Environmental Outlook.</w:t>
            </w:r>
          </w:p>
          <w:p w14:paraId="39081BDE"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0721EB2B" w14:textId="77777777" w:rsidR="00910C05" w:rsidRPr="00910C05" w:rsidRDefault="00910C05" w:rsidP="00910C05">
            <w:pPr>
              <w:rPr>
                <w:rFonts w:cs="Calibri"/>
                <w:lang w:val="en-US"/>
              </w:rPr>
            </w:pPr>
            <w:r w:rsidRPr="00910C05">
              <w:rPr>
                <w:rFonts w:ascii="Times" w:eastAsia="Times" w:hAnsi="Times" w:cs="Times"/>
                <w:i/>
                <w:iCs/>
                <w:color w:val="808080" w:themeColor="background1" w:themeShade="80"/>
                <w:szCs w:val="24"/>
                <w:lang w:val="en-US"/>
              </w:rPr>
              <w:t xml:space="preserve"> </w:t>
            </w:r>
            <w:r w:rsidRPr="00910C05">
              <w:rPr>
                <w:rFonts w:ascii="Times" w:eastAsia="Times" w:hAnsi="Times" w:cs="Times"/>
                <w:b/>
                <w:bCs/>
                <w:color w:val="00B050"/>
                <w:szCs w:val="24"/>
                <w:lang w:val="en-US"/>
              </w:rPr>
              <w:t xml:space="preserve"> </w:t>
            </w:r>
            <w:r w:rsidRPr="00910C05">
              <w:rPr>
                <w:rFonts w:cs="Calibri"/>
                <w:lang w:val="en-US"/>
              </w:rPr>
              <w:t xml:space="preserve">Since 2014, KTH has led the development of the Open Source Spatial Electrification Tool (OnSSET). The tool was first developed in collaboration with the International Energy Agency and UNDESA. Following that, KTH led a consortium of international partners to develop the Global Electrification Platform (GEP) (electrifynow.energydata.info), funded by the World Bank. </w:t>
            </w:r>
          </w:p>
          <w:p w14:paraId="3B478A17" w14:textId="77777777" w:rsidR="00910C05" w:rsidRPr="00910C05" w:rsidRDefault="00910C05" w:rsidP="00910C05">
            <w:pPr>
              <w:spacing w:after="0" w:line="259" w:lineRule="auto"/>
              <w:rPr>
                <w:rFonts w:cs="Calibri"/>
                <w:lang w:val="en-US"/>
              </w:rPr>
            </w:pPr>
            <w:r w:rsidRPr="00910C05">
              <w:rPr>
                <w:rFonts w:cs="Calibri"/>
                <w:lang w:val="en-US"/>
              </w:rPr>
              <w:t xml:space="preserve"> The OnSSET tool was used in order to generate 216 electrification investment scenarios per country for ~60 countries in sub-Saharan Africa, Central America and Asia and the Pacific. This makes the GEP the most comprehensive platform available to date for data on electrification pathways. </w:t>
            </w:r>
          </w:p>
          <w:p w14:paraId="42897A68"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2F29D0C2" w14:textId="77777777" w:rsidR="00910C05" w:rsidRPr="00910C05" w:rsidRDefault="00910C05" w:rsidP="00910C05">
            <w:pPr>
              <w:spacing w:after="0" w:line="259" w:lineRule="auto"/>
              <w:rPr>
                <w:rFonts w:cs="Calibri"/>
                <w:lang w:val="en-US"/>
              </w:rPr>
            </w:pPr>
            <w:r w:rsidRPr="00910C05">
              <w:rPr>
                <w:rFonts w:cs="Calibri"/>
                <w:lang w:val="en-US"/>
              </w:rPr>
              <w:t xml:space="preserve">The GEP is supported by a number of international partners working with SDG 7: Power for All, Sustainable Energy for All, ESMAP, Sustainable Development Solutions Network, United Nations Department of Economic and Social Affairs, United Nations Development Programme, United Nation Economic Commission for Africa, UK Aid and Facebook Social Good. </w:t>
            </w:r>
          </w:p>
          <w:p w14:paraId="723A684F"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45C083A1" w14:textId="77777777" w:rsidR="00910C05" w:rsidRPr="00910C05" w:rsidRDefault="00910C05" w:rsidP="00910C05">
            <w:pPr>
              <w:spacing w:after="0" w:line="259" w:lineRule="auto"/>
              <w:rPr>
                <w:rFonts w:cs="Calibri"/>
                <w:lang w:val="en-US"/>
              </w:rPr>
            </w:pPr>
            <w:r w:rsidRPr="00910C05">
              <w:rPr>
                <w:rFonts w:cs="Calibri"/>
                <w:lang w:val="en-US"/>
              </w:rPr>
              <w:t xml:space="preserve">The platform enables anyone working with energy access, to engage with governments and other stakeholders to discuss strategies to increase electrification rates in  ~60 countries. </w:t>
            </w:r>
          </w:p>
          <w:p w14:paraId="058684BE" w14:textId="77777777" w:rsidR="00910C05" w:rsidRPr="00910C05" w:rsidRDefault="00910C05" w:rsidP="00910C05">
            <w:pPr>
              <w:spacing w:after="0" w:line="259" w:lineRule="auto"/>
              <w:rPr>
                <w:rFonts w:cs="Calibri"/>
                <w:lang w:val="en-US"/>
              </w:rPr>
            </w:pPr>
          </w:p>
          <w:p w14:paraId="149F2AEB" w14:textId="77777777" w:rsidR="00910C05" w:rsidRPr="00910C05" w:rsidRDefault="00910C05" w:rsidP="00910C05">
            <w:pPr>
              <w:spacing w:after="0" w:line="259" w:lineRule="auto"/>
              <w:rPr>
                <w:rFonts w:cs="Calibri"/>
                <w:lang w:val="en-US"/>
              </w:rPr>
            </w:pPr>
            <w:r w:rsidRPr="00910C05">
              <w:rPr>
                <w:rFonts w:cs="Calibri"/>
                <w:lang w:val="en-US"/>
              </w:rPr>
              <w:t>The platform builds on open data and OnSSET which is an open source tool. This enables public institutions, private companies and academics to develop their own electrification analysis with significantly lower barriers than before.</w:t>
            </w:r>
          </w:p>
          <w:p w14:paraId="393E2E32" w14:textId="77777777" w:rsidR="00910C05" w:rsidRPr="00910C05" w:rsidRDefault="00910C05" w:rsidP="00910C05">
            <w:pPr>
              <w:spacing w:after="0" w:line="259" w:lineRule="auto"/>
              <w:rPr>
                <w:rFonts w:cs="Calibri"/>
                <w:lang w:val="en-US"/>
              </w:rPr>
            </w:pPr>
          </w:p>
          <w:p w14:paraId="217F102E" w14:textId="77777777" w:rsidR="00910C05" w:rsidRPr="00910C05" w:rsidRDefault="00910C05" w:rsidP="00910C05">
            <w:pPr>
              <w:rPr>
                <w:rFonts w:cs="Calibri"/>
                <w:b/>
                <w:bCs/>
                <w:sz w:val="26"/>
                <w:szCs w:val="26"/>
                <w:lang w:val="en-US"/>
              </w:rPr>
            </w:pPr>
            <w:r w:rsidRPr="00910C05">
              <w:rPr>
                <w:rFonts w:eastAsia="Times New Roman" w:cs="Calibri"/>
                <w:b/>
                <w:bCs/>
                <w:sz w:val="26"/>
                <w:szCs w:val="26"/>
              </w:rPr>
              <w:t>Case II:</w:t>
            </w:r>
            <w:r w:rsidRPr="00910C05">
              <w:rPr>
                <w:rFonts w:ascii="Georgia" w:eastAsia="Georgia" w:hAnsi="Georgia" w:cs="Georgia"/>
                <w:b/>
                <w:bCs/>
                <w:color w:val="262626" w:themeColor="text1" w:themeTint="D9"/>
                <w:szCs w:val="24"/>
              </w:rPr>
              <w:t xml:space="preserve"> KTH Live-in Lab </w:t>
            </w:r>
          </w:p>
          <w:p w14:paraId="229C6A49" w14:textId="77777777" w:rsidR="00910C05" w:rsidRPr="00910C05" w:rsidRDefault="00910C05" w:rsidP="00910C05">
            <w:pPr>
              <w:spacing w:after="0" w:line="259" w:lineRule="auto"/>
              <w:rPr>
                <w:rFonts w:cs="Calibri"/>
                <w:bCs/>
              </w:rPr>
            </w:pPr>
            <w:r w:rsidRPr="00910C05">
              <w:rPr>
                <w:rFonts w:cs="Calibri"/>
                <w:b/>
                <w:bCs/>
              </w:rPr>
              <w:t xml:space="preserve"> </w:t>
            </w:r>
            <w:r w:rsidRPr="00910C05">
              <w:rPr>
                <w:rFonts w:cs="Calibri"/>
                <w:bCs/>
              </w:rPr>
              <w:t>KTH Live-In Lab is a unique cross-disciplinary platform for accelerated innovation in the real-estate sector, and for collaboration between academia and industry. The test-beds in KTH Live-In Lab are operated in real environments for testing and researching new technologies and new methods.</w:t>
            </w:r>
          </w:p>
          <w:p w14:paraId="65A6477C" w14:textId="77777777" w:rsidR="00910C05" w:rsidRPr="00910C05" w:rsidRDefault="00910C05" w:rsidP="00910C05">
            <w:pPr>
              <w:spacing w:after="0" w:line="259" w:lineRule="auto"/>
              <w:rPr>
                <w:rFonts w:cs="Calibri"/>
                <w:bCs/>
              </w:rPr>
            </w:pPr>
            <w:r w:rsidRPr="00910C05">
              <w:rPr>
                <w:rFonts w:cs="Calibri"/>
                <w:bCs/>
              </w:rPr>
              <w:t xml:space="preserve"> </w:t>
            </w:r>
          </w:p>
          <w:p w14:paraId="37115F80" w14:textId="77777777" w:rsidR="00910C05" w:rsidRPr="00910C05" w:rsidRDefault="00910C05" w:rsidP="00910C05">
            <w:pPr>
              <w:spacing w:after="0" w:line="259" w:lineRule="auto"/>
              <w:rPr>
                <w:rFonts w:cs="Calibri"/>
                <w:bCs/>
              </w:rPr>
            </w:pPr>
            <w:r w:rsidRPr="00910C05">
              <w:rPr>
                <w:rFonts w:cs="Calibri"/>
                <w:bCs/>
              </w:rPr>
              <w:t>The purpose of KTH Live-In Lab is to reduce the lead times between test/research results and market introduction for new technologies. In this way, KTH Live-In Lab aims to facilitate the advent of the sustainable and resource-effective buildings of the future by accelerating the rate of introduction of new competitive product and services for the construction and real-estate sectors.</w:t>
            </w:r>
          </w:p>
          <w:p w14:paraId="30898A37" w14:textId="77777777" w:rsidR="00910C05" w:rsidRPr="00910C05" w:rsidRDefault="00910C05" w:rsidP="00910C05">
            <w:pPr>
              <w:spacing w:after="0" w:line="259" w:lineRule="auto"/>
              <w:rPr>
                <w:rFonts w:cs="Calibri"/>
              </w:rPr>
            </w:pPr>
            <w:r w:rsidRPr="00910C05">
              <w:rPr>
                <w:rFonts w:cs="Calibri"/>
              </w:rPr>
              <w:lastRenderedPageBreak/>
              <w:t xml:space="preserve"> </w:t>
            </w:r>
          </w:p>
          <w:p w14:paraId="27883C38" w14:textId="77777777" w:rsidR="00910C05" w:rsidRPr="00910C05" w:rsidRDefault="00910C05" w:rsidP="00910C05">
            <w:pPr>
              <w:spacing w:after="0" w:line="259" w:lineRule="auto"/>
              <w:rPr>
                <w:rFonts w:cs="Calibri"/>
                <w:b/>
                <w:bCs/>
              </w:rPr>
            </w:pPr>
            <w:r w:rsidRPr="00910C05">
              <w:rPr>
                <w:rFonts w:cs="Calibri"/>
                <w:b/>
                <w:bCs/>
              </w:rPr>
              <w:t>One platform with three test beds and a common data-base</w:t>
            </w:r>
          </w:p>
          <w:p w14:paraId="307AFAD3" w14:textId="77777777" w:rsidR="00910C05" w:rsidRPr="00910C05" w:rsidRDefault="00910C05" w:rsidP="00910C05">
            <w:pPr>
              <w:spacing w:after="0" w:line="259" w:lineRule="auto"/>
              <w:rPr>
                <w:rFonts w:cs="Calibri"/>
              </w:rPr>
            </w:pPr>
            <w:r w:rsidRPr="00910C05">
              <w:rPr>
                <w:rFonts w:cs="Calibri"/>
              </w:rPr>
              <w:t>KTH Live-In Lab offers a full-scale test environment ranging from buildings and installations to housing and management organizations. Research and testing can be carried out in real buildings, which means that not only the product or service itself is evaluated, but also how each component contributes to the performance of the building as a whole. Results from projects conducted within the framework of KTH Live-In Lab are thus achieving an unprecedented quality level.</w:t>
            </w:r>
          </w:p>
          <w:p w14:paraId="78F53941" w14:textId="77777777" w:rsidR="00910C05" w:rsidRPr="00910C05" w:rsidRDefault="00910C05" w:rsidP="00910C05">
            <w:pPr>
              <w:spacing w:after="0" w:line="259" w:lineRule="auto"/>
              <w:rPr>
                <w:rFonts w:cs="Calibri"/>
              </w:rPr>
            </w:pPr>
            <w:r w:rsidRPr="00910C05">
              <w:rPr>
                <w:rFonts w:cs="Calibri"/>
              </w:rPr>
              <w:t xml:space="preserve"> </w:t>
            </w:r>
          </w:p>
          <w:p w14:paraId="72A27330" w14:textId="77777777" w:rsidR="00910C05" w:rsidRPr="00910C05" w:rsidRDefault="00910C05" w:rsidP="00910C05">
            <w:pPr>
              <w:spacing w:after="0" w:line="259" w:lineRule="auto"/>
              <w:rPr>
                <w:rFonts w:cs="Calibri"/>
              </w:rPr>
            </w:pPr>
            <w:r w:rsidRPr="00910C05">
              <w:rPr>
                <w:rFonts w:cs="Calibri"/>
              </w:rPr>
              <w:t xml:space="preserve">KTH Live-In Lab today encompasses three test-beds and a data-base. Testbed KTH is a 300 sqm building permit-free innovation environment with alterable student apartments (See figure) which enables studies on the future's resource-efficient and sustainable student housing. The second running testbed is Testbed Einar Mattson (EM). This building complex consist of 305 common student flats housed in a plus- energy building using stae-of-the art techonlogies such as waste water heat recovery, roof-top solar PV, ground source heat pumps, heat storage and so on. All apartment are equipped with sensors. The third operative test-bed is testbed Akademiska Hus, KTH most recent building for educational activites owned and operated by Akademiska Hus. </w:t>
            </w:r>
          </w:p>
          <w:p w14:paraId="5D29ECF3" w14:textId="77777777" w:rsidR="00910C05" w:rsidRPr="00910C05" w:rsidRDefault="00910C05" w:rsidP="00910C05">
            <w:pPr>
              <w:spacing w:after="0" w:line="259" w:lineRule="auto"/>
              <w:rPr>
                <w:rFonts w:cs="Calibri"/>
              </w:rPr>
            </w:pPr>
            <w:r w:rsidRPr="00910C05">
              <w:rPr>
                <w:rFonts w:cs="Calibri"/>
              </w:rPr>
              <w:t xml:space="preserve">   </w:t>
            </w:r>
          </w:p>
          <w:p w14:paraId="2C741180" w14:textId="77777777" w:rsidR="00910C05" w:rsidRPr="00910C05" w:rsidRDefault="00910C05" w:rsidP="00910C05">
            <w:pPr>
              <w:spacing w:after="0" w:line="259" w:lineRule="auto"/>
              <w:rPr>
                <w:rFonts w:cs="Calibri"/>
                <w:b/>
                <w:bCs/>
              </w:rPr>
            </w:pPr>
            <w:r w:rsidRPr="00910C05">
              <w:rPr>
                <w:rFonts w:cs="Calibri"/>
                <w:b/>
                <w:bCs/>
              </w:rPr>
              <w:t>Theoretical framework</w:t>
            </w:r>
          </w:p>
          <w:p w14:paraId="7BD03290" w14:textId="77777777" w:rsidR="00910C05" w:rsidRPr="00910C05" w:rsidRDefault="00910C05" w:rsidP="00910C05">
            <w:pPr>
              <w:spacing w:after="0" w:line="259" w:lineRule="auto"/>
              <w:rPr>
                <w:rFonts w:cs="Calibri"/>
              </w:rPr>
            </w:pPr>
            <w:r w:rsidRPr="00910C05">
              <w:rPr>
                <w:rFonts w:cs="Calibri"/>
              </w:rPr>
              <w:t>Our idea of an agile testbed for building-related Cleantech arose from discussions as to how we could eliminate the identified obstacles to increased innovation within the residential and construction sectors. KTH Live-In Lab is based on theory around Strategic Niche Management (SNM) and Multilevel perspective (MLP) (Berkers &amp; Geels, 2011: Schot &amp; Geels, 2008). Both theories discuss innovation and technology shifts. They argue that players who are actively involved in the innovation process affect, through collaboration, the selection process of new technologies and the future trajectory of research and development. These theories emphasize the importance of demonstration projects, or testbeds, that provide partial shelter for new technological innovations, referred to as technological niches (Rip, 1992, 1995; Schot, 1992, 1998). Products and services can be tested and verified within these protective environments, technological niches, with higher levels of interactions and of knowledge transfer between different players of the market, a key success factor of dynamic clusters (Vinnova, 2002).</w:t>
            </w:r>
          </w:p>
          <w:p w14:paraId="7D30C10F" w14:textId="77777777" w:rsidR="00910C05" w:rsidRPr="00910C05" w:rsidRDefault="00910C05" w:rsidP="00910C05">
            <w:pPr>
              <w:spacing w:after="0" w:line="259" w:lineRule="auto"/>
              <w:rPr>
                <w:rFonts w:cs="Calibri"/>
              </w:rPr>
            </w:pPr>
            <w:r w:rsidRPr="00910C05">
              <w:rPr>
                <w:rFonts w:cs="Calibri"/>
              </w:rPr>
              <w:t xml:space="preserve"> </w:t>
            </w:r>
          </w:p>
          <w:p w14:paraId="526B5B4D" w14:textId="77777777" w:rsidR="00910C05" w:rsidRPr="00910C05" w:rsidRDefault="00910C05" w:rsidP="00910C05">
            <w:pPr>
              <w:spacing w:after="0" w:line="259" w:lineRule="auto"/>
              <w:rPr>
                <w:rFonts w:cs="Calibri"/>
              </w:rPr>
            </w:pPr>
            <w:r w:rsidRPr="00910C05">
              <w:rPr>
                <w:rFonts w:cs="Calibri"/>
              </w:rPr>
              <w:t xml:space="preserve"> KTH Live-In Lab was established during 2016 with the help of a donation from Einar Mattsson as well as the contribution of VINNOVA, Boverket, Semrén &amp; Månsson, Ericsson, Belkab, Grunditz Göransson Arkitektur and Pinnab Inneklimat. </w:t>
            </w:r>
          </w:p>
          <w:p w14:paraId="7B9A86BD" w14:textId="77777777" w:rsidR="00910C05" w:rsidRPr="00910C05" w:rsidRDefault="00910C05" w:rsidP="00910C05">
            <w:pPr>
              <w:spacing w:after="0" w:line="259" w:lineRule="auto"/>
              <w:rPr>
                <w:rFonts w:cs="Calibri"/>
              </w:rPr>
            </w:pPr>
            <w:r w:rsidRPr="00910C05">
              <w:rPr>
                <w:rFonts w:cs="Calibri"/>
              </w:rPr>
              <w:t xml:space="preserve"> </w:t>
            </w:r>
          </w:p>
          <w:p w14:paraId="723004D5" w14:textId="77777777" w:rsidR="00910C05" w:rsidRPr="00910C05" w:rsidRDefault="00910C05" w:rsidP="00910C05">
            <w:pPr>
              <w:spacing w:after="0" w:line="259" w:lineRule="auto"/>
              <w:rPr>
                <w:rFonts w:cs="Calibri"/>
              </w:rPr>
            </w:pPr>
            <w:r w:rsidRPr="00910C05">
              <w:rPr>
                <w:rFonts w:cs="Calibri"/>
              </w:rPr>
              <w:t xml:space="preserve">In 2019 KTH Live-In Lab was transformed from a set of separate projects to a fully operational research centre with four active centra members: KTH, Einar Mattsson, Akademiska Hus and Schneider Electric. During 2019 the number of started projects doubled and the project reached a broader audience through Swedish national radio (P1) and TV (SVT) and many articles in the daily press. </w:t>
            </w:r>
          </w:p>
          <w:p w14:paraId="3736491B" w14:textId="77777777" w:rsidR="00910C05" w:rsidRPr="00910C05" w:rsidRDefault="00910C05" w:rsidP="00910C05">
            <w:pPr>
              <w:spacing w:after="0" w:line="259" w:lineRule="auto"/>
              <w:rPr>
                <w:rFonts w:cs="Calibri"/>
              </w:rPr>
            </w:pPr>
            <w:r w:rsidRPr="00910C05">
              <w:rPr>
                <w:rFonts w:cs="Calibri"/>
              </w:rPr>
              <w:lastRenderedPageBreak/>
              <w:t xml:space="preserve"> </w:t>
            </w:r>
          </w:p>
          <w:p w14:paraId="389F4FAD" w14:textId="77777777" w:rsidR="00910C05" w:rsidRPr="00910C05" w:rsidRDefault="00910C05" w:rsidP="00910C05">
            <w:pPr>
              <w:spacing w:after="0" w:line="259" w:lineRule="auto"/>
              <w:rPr>
                <w:rFonts w:cs="Calibri"/>
              </w:rPr>
            </w:pPr>
            <w:r w:rsidRPr="00910C05">
              <w:rPr>
                <w:rFonts w:cs="Calibri"/>
              </w:rPr>
              <w:t xml:space="preserve">In 2019 international collaboration started first with TU Delft, AMS Institute, and Amsterdam University, and in October with MIT and Harvard to learn and share experiences from Living Lab activities. In November, as a follow up of the Living Labs visits, an international workshop was held to discuss and develop methods for impact from R&amp;D performed in Living Labs. The workshop was held in collaboration with academia and industry with participants from HSB Living Lab, TU Delft, AMS Institute, MIT, Boverket, Schneider Electric, Akademiska Hus and many more. </w:t>
            </w:r>
          </w:p>
          <w:p w14:paraId="52C06288" w14:textId="77777777" w:rsidR="00910C05" w:rsidRPr="00910C05" w:rsidRDefault="00910C05" w:rsidP="00910C05">
            <w:pPr>
              <w:spacing w:after="0" w:line="259" w:lineRule="auto"/>
              <w:rPr>
                <w:rFonts w:cs="Calibri"/>
              </w:rPr>
            </w:pPr>
            <w:r w:rsidRPr="00910C05">
              <w:rPr>
                <w:rFonts w:cs="Calibri"/>
              </w:rPr>
              <w:t xml:space="preserve"> </w:t>
            </w:r>
          </w:p>
          <w:p w14:paraId="3990EE92" w14:textId="77777777" w:rsidR="00910C05" w:rsidRPr="00910C05" w:rsidRDefault="00910C05" w:rsidP="00910C05">
            <w:pPr>
              <w:spacing w:after="0" w:line="259" w:lineRule="auto"/>
              <w:rPr>
                <w:rFonts w:cs="Calibri"/>
              </w:rPr>
            </w:pPr>
            <w:r w:rsidRPr="00910C05">
              <w:rPr>
                <w:rFonts w:cs="Calibri"/>
              </w:rPr>
              <w:t xml:space="preserve">At the end of 2019, there was 38 accepted applications to use the test-bed infrastructures, of which 18 are ongoing and 8 finished. The total value of ongoing projects is around 47MSEK divided into 11MSEK in-kind and 36MSEK funding, mainly from Formas, Energy Agency and Vinnova. Last years applications for funding of projects in KTH Live-In Lab was very successful - 9 out of 10 got funded from different funding agencies. This is a strong proof that the concept of KTH Live-In Lab works. </w:t>
            </w:r>
          </w:p>
          <w:p w14:paraId="081D37DA" w14:textId="77777777" w:rsidR="00910C05" w:rsidRPr="00910C05" w:rsidRDefault="00910C05" w:rsidP="00910C05">
            <w:pPr>
              <w:spacing w:after="0" w:line="259" w:lineRule="auto"/>
              <w:rPr>
                <w:rFonts w:cs="Calibri"/>
              </w:rPr>
            </w:pPr>
            <w:r w:rsidRPr="00910C05">
              <w:rPr>
                <w:rFonts w:cs="Calibri"/>
              </w:rPr>
              <w:t xml:space="preserve"> </w:t>
            </w:r>
          </w:p>
          <w:p w14:paraId="63F44D62" w14:textId="77777777" w:rsidR="00910C05" w:rsidRPr="00910C05" w:rsidRDefault="00910C05" w:rsidP="00910C05">
            <w:pPr>
              <w:spacing w:after="0" w:line="259" w:lineRule="auto"/>
              <w:rPr>
                <w:rFonts w:cs="Calibri"/>
              </w:rPr>
            </w:pPr>
            <w:r w:rsidRPr="00910C05">
              <w:rPr>
                <w:rFonts w:cs="Calibri"/>
              </w:rPr>
              <w:t xml:space="preserve">Together, academia and industry in collaboration, we push the boundaries of what is perceived as smart and sustainable buildings in order to minimize building coupled resource usage. We also identifies multiple use cases and create new services from single techniques/spenditures to maximise the perceived values for owners, operators and most importantly, users of buildings. </w:t>
            </w:r>
          </w:p>
          <w:p w14:paraId="2E49825E" w14:textId="77777777" w:rsidR="00910C05" w:rsidRPr="00910C05" w:rsidRDefault="00910C05" w:rsidP="00910C05">
            <w:pPr>
              <w:spacing w:after="0" w:line="259" w:lineRule="auto"/>
              <w:rPr>
                <w:rFonts w:cs="Calibri"/>
              </w:rPr>
            </w:pPr>
            <w:r w:rsidRPr="00910C05">
              <w:rPr>
                <w:rFonts w:cs="Calibri"/>
              </w:rPr>
              <w:t xml:space="preserve"> </w:t>
            </w:r>
          </w:p>
          <w:p w14:paraId="551B1ADA" w14:textId="77777777" w:rsidR="00910C05" w:rsidRPr="00910C05" w:rsidRDefault="00910C05" w:rsidP="00910C05">
            <w:pPr>
              <w:spacing w:after="0" w:line="259" w:lineRule="auto"/>
              <w:rPr>
                <w:rFonts w:cs="Calibri"/>
                <w:b/>
                <w:bCs/>
              </w:rPr>
            </w:pPr>
            <w:r w:rsidRPr="00910C05">
              <w:rPr>
                <w:rFonts w:cs="Calibri"/>
                <w:b/>
                <w:bCs/>
              </w:rPr>
              <w:t>More information</w:t>
            </w:r>
          </w:p>
          <w:p w14:paraId="0BE1FAB6" w14:textId="77777777" w:rsidR="00910C05" w:rsidRPr="00910C05" w:rsidRDefault="00910C05" w:rsidP="00910C05">
            <w:pPr>
              <w:spacing w:after="0" w:line="259" w:lineRule="auto"/>
              <w:rPr>
                <w:rFonts w:eastAsia="Times New Roman" w:cs="Calibri"/>
                <w:b/>
                <w:bCs/>
                <w:sz w:val="26"/>
                <w:szCs w:val="26"/>
              </w:rPr>
            </w:pPr>
            <w:r w:rsidRPr="00910C05">
              <w:rPr>
                <w:rFonts w:cs="Calibri"/>
              </w:rPr>
              <w:t xml:space="preserve">Please visit web-page KTH Live-in Lab: </w:t>
            </w:r>
            <w:r w:rsidRPr="00910C05">
              <w:rPr>
                <w:rFonts w:cs="Calibri"/>
                <w:color w:val="1954A6" w:themeColor="accent1"/>
              </w:rPr>
              <w:t>www.liveinlab.kth.se</w:t>
            </w:r>
            <w:hyperlink/>
          </w:p>
          <w:p w14:paraId="775BBF9A" w14:textId="77777777" w:rsidR="00910C05" w:rsidRPr="00910C05" w:rsidRDefault="00910C05" w:rsidP="00910C05">
            <w:pPr>
              <w:spacing w:after="0" w:line="259" w:lineRule="auto"/>
              <w:rPr>
                <w:rFonts w:eastAsia="Times New Roman" w:cs="Calibri"/>
                <w:b/>
                <w:bCs/>
                <w:sz w:val="26"/>
                <w:szCs w:val="26"/>
              </w:rPr>
            </w:pPr>
          </w:p>
          <w:p w14:paraId="15D26C96" w14:textId="77777777" w:rsidR="00910C05" w:rsidRPr="00910C05" w:rsidRDefault="00910C05" w:rsidP="00910C05">
            <w:pPr>
              <w:rPr>
                <w:rFonts w:eastAsia="Calibri" w:cs="Calibri"/>
                <w:b/>
                <w:bCs/>
                <w:sz w:val="26"/>
                <w:szCs w:val="26"/>
                <w:lang w:val="en-US"/>
              </w:rPr>
            </w:pPr>
            <w:r w:rsidRPr="00910C05">
              <w:rPr>
                <w:rFonts w:eastAsia="Times New Roman" w:cs="Calibri"/>
                <w:b/>
                <w:bCs/>
                <w:sz w:val="26"/>
                <w:szCs w:val="26"/>
              </w:rPr>
              <w:t xml:space="preserve">Case III: </w:t>
            </w:r>
            <w:r w:rsidRPr="00910C05">
              <w:rPr>
                <w:rFonts w:eastAsia="Times New Roman" w:cs="Calibri"/>
                <w:b/>
                <w:bCs/>
                <w:sz w:val="26"/>
                <w:szCs w:val="26"/>
                <w:lang w:val="en-US"/>
              </w:rPr>
              <w:t xml:space="preserve">A global energy supply model infrastructure </w:t>
            </w:r>
          </w:p>
          <w:p w14:paraId="449C70DD" w14:textId="77777777" w:rsidR="00910C05" w:rsidRPr="00910C05" w:rsidRDefault="00910C05" w:rsidP="00910C05">
            <w:pPr>
              <w:spacing w:after="0" w:line="259" w:lineRule="auto"/>
              <w:rPr>
                <w:rFonts w:cs="Calibri"/>
                <w:b/>
                <w:bCs/>
                <w:lang w:val="en-US"/>
              </w:rPr>
            </w:pPr>
            <w:r w:rsidRPr="00910C05">
              <w:rPr>
                <w:rFonts w:eastAsia="Calibri" w:cs="Calibri"/>
                <w:b/>
                <w:bCs/>
                <w:sz w:val="26"/>
                <w:szCs w:val="26"/>
                <w:lang w:val="en-US"/>
              </w:rPr>
              <w:t>K</w:t>
            </w:r>
            <w:r w:rsidRPr="00910C05">
              <w:rPr>
                <w:rFonts w:cs="Calibri"/>
                <w:b/>
                <w:bCs/>
                <w:lang w:val="en-US"/>
              </w:rPr>
              <w:t>TH has developed a tool for energy and integrated water-energy-land use planning: The Open Source energy Modelling System (OSeMOSYS). System planners and research community in developing countries were lacking an analytical tool to support their decision making process. OSeMOSYS has been designed to fill this gap.  It calculates the least-cost electricity, energy and resources supply options for countries all over the world, like what investments to make, when, at what capacity and how to operate them to meet the said policy target(s) at the lowest cost.</w:t>
            </w:r>
          </w:p>
          <w:p w14:paraId="40A294DE"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3835E689" w14:textId="77777777" w:rsidR="00910C05" w:rsidRPr="00910C05" w:rsidRDefault="00910C05" w:rsidP="00910C05">
            <w:pPr>
              <w:spacing w:after="0" w:line="259" w:lineRule="auto"/>
              <w:rPr>
                <w:rFonts w:cs="Calibri"/>
                <w:lang w:val="en-US"/>
              </w:rPr>
            </w:pPr>
            <w:r w:rsidRPr="00910C05">
              <w:rPr>
                <w:rFonts w:cs="Calibri"/>
                <w:lang w:val="en-US"/>
              </w:rPr>
              <w:t xml:space="preserve">Around the tool there’s a world-wide Community of Practice, from the use in academic teaching, through to the creation of research teams, building modelling capacity within planning units of Governments and use as science-basis for development plans. </w:t>
            </w:r>
          </w:p>
          <w:p w14:paraId="06D9E01A"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6F77001D" w14:textId="77777777" w:rsidR="00910C05" w:rsidRPr="00910C05" w:rsidRDefault="00910C05" w:rsidP="00910C05">
            <w:pPr>
              <w:spacing w:after="0" w:line="259" w:lineRule="auto"/>
              <w:rPr>
                <w:rFonts w:cs="Calibri"/>
                <w:lang w:val="en-US"/>
              </w:rPr>
            </w:pPr>
            <w:r w:rsidRPr="00910C05">
              <w:rPr>
                <w:rFonts w:cs="Calibri"/>
                <w:lang w:val="en-US"/>
              </w:rPr>
              <w:t>Today OSeMOSYS is one of the world-leading open source tools for energy planning.</w:t>
            </w:r>
          </w:p>
          <w:p w14:paraId="434C3AFE" w14:textId="77777777" w:rsidR="00910C05" w:rsidRPr="00910C05" w:rsidRDefault="00910C05" w:rsidP="00910C05">
            <w:pPr>
              <w:spacing w:after="0" w:line="259" w:lineRule="auto"/>
              <w:rPr>
                <w:rFonts w:cs="Calibri"/>
                <w:lang w:val="en-US"/>
              </w:rPr>
            </w:pPr>
            <w:r w:rsidRPr="00910C05">
              <w:rPr>
                <w:rFonts w:cs="Calibri"/>
                <w:lang w:val="en-US"/>
              </w:rPr>
              <w:t>The reach and variety of the use of the tool testify the process leading from open source academic excellence to policy making:</w:t>
            </w:r>
          </w:p>
          <w:p w14:paraId="5E7FEFD3"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6D204B6A" w14:textId="77777777" w:rsidR="00910C05" w:rsidRPr="00910C05" w:rsidRDefault="00910C05" w:rsidP="003A09D8">
            <w:pPr>
              <w:numPr>
                <w:ilvl w:val="0"/>
                <w:numId w:val="24"/>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lastRenderedPageBreak/>
              <w:t>Use by the United Nations Department of Economic and Social Affairs (UNDESA) and the United Nations Development Programme (UNDP) in capacity development programmes with Ministries of Governments worldwide (with around 200-300 trainees from Bolivia, Costa Rica, Nicaragua, Paraguay, Uganda, Ethiopia, Sierra Leone, Cyprus, Indonesia, Pakistan, India, Sri Lanka, Myanmar, Thailand, Vietnam);</w:t>
            </w:r>
          </w:p>
          <w:p w14:paraId="0AFA1294" w14:textId="77777777" w:rsidR="00910C05" w:rsidRPr="00910C05" w:rsidRDefault="00910C05" w:rsidP="003A09D8">
            <w:pPr>
              <w:numPr>
                <w:ilvl w:val="0"/>
                <w:numId w:val="24"/>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Featured as one of the United Nations’s Modelling Tools for Sustainable Development: </w:t>
            </w:r>
            <w:hyperlink r:id="rId14">
              <w:r w:rsidRPr="00910C05">
                <w:rPr>
                  <w:rFonts w:eastAsia="Calibri" w:cs="Calibri"/>
                  <w:szCs w:val="24"/>
                  <w:lang w:val="en-US" w:eastAsia="sv-SE"/>
                </w:rPr>
                <w:t>https://un-modelling.github.io/</w:t>
              </w:r>
            </w:hyperlink>
            <w:r w:rsidRPr="00910C05">
              <w:rPr>
                <w:rFonts w:eastAsia="Calibri" w:cs="Calibri"/>
                <w:szCs w:val="24"/>
                <w:lang w:val="en-US" w:eastAsia="sv-SE"/>
              </w:rPr>
              <w:t xml:space="preserve"> ;</w:t>
            </w:r>
          </w:p>
          <w:p w14:paraId="36A76EFD" w14:textId="77777777" w:rsidR="00910C05" w:rsidRPr="00910C05" w:rsidRDefault="00910C05" w:rsidP="003A09D8">
            <w:pPr>
              <w:numPr>
                <w:ilvl w:val="0"/>
                <w:numId w:val="24"/>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Model-based update of National energy and resource planning strategies: </w:t>
            </w:r>
            <w:r w:rsidRPr="00910C05">
              <w:rPr>
                <w:rFonts w:asciiTheme="minorHAnsi" w:eastAsiaTheme="minorEastAsia" w:hAnsiTheme="minorHAnsi"/>
                <w:szCs w:val="24"/>
                <w:lang w:val="en-US" w:eastAsia="sv-SE"/>
              </w:rPr>
              <w:br/>
            </w:r>
            <w:r w:rsidRPr="00910C05">
              <w:rPr>
                <w:rFonts w:eastAsia="Calibri" w:cs="Calibri"/>
                <w:szCs w:val="24"/>
                <w:lang w:val="en-US" w:eastAsia="sv-SE"/>
              </w:rPr>
              <w:t>- By the Government of Bolivia for delivering its Intended Nationally Determined Contributions (</w:t>
            </w:r>
            <w:hyperlink r:id="rId15">
              <w:r w:rsidRPr="00910C05">
                <w:rPr>
                  <w:rFonts w:eastAsia="Calibri" w:cs="Calibri"/>
                  <w:color w:val="1954A6" w:themeColor="accent1"/>
                  <w:szCs w:val="24"/>
                  <w:lang w:val="en-US" w:eastAsia="sv-SE"/>
                </w:rPr>
                <w:t>link</w:t>
              </w:r>
            </w:hyperlink>
            <w:r w:rsidRPr="00910C05">
              <w:rPr>
                <w:rFonts w:eastAsia="Calibri" w:cs="Calibri"/>
                <w:szCs w:val="24"/>
                <w:lang w:val="en-US" w:eastAsia="sv-SE"/>
              </w:rPr>
              <w:t xml:space="preserve">), </w:t>
            </w:r>
            <w:r w:rsidRPr="00910C05">
              <w:rPr>
                <w:rFonts w:asciiTheme="minorHAnsi" w:eastAsiaTheme="minorEastAsia" w:hAnsiTheme="minorHAnsi"/>
                <w:szCs w:val="24"/>
                <w:lang w:val="en-US" w:eastAsia="sv-SE"/>
              </w:rPr>
              <w:br/>
            </w:r>
            <w:r w:rsidRPr="00910C05">
              <w:rPr>
                <w:rFonts w:eastAsia="Calibri" w:cs="Calibri"/>
                <w:szCs w:val="24"/>
                <w:lang w:val="en-US" w:eastAsia="sv-SE"/>
              </w:rPr>
              <w:t xml:space="preserve">- By the Government of Cyprus for planning new gas and renewable infrastructure, </w:t>
            </w:r>
            <w:r w:rsidRPr="00910C05">
              <w:rPr>
                <w:rFonts w:asciiTheme="minorHAnsi" w:eastAsiaTheme="minorEastAsia" w:hAnsiTheme="minorHAnsi"/>
                <w:szCs w:val="24"/>
                <w:lang w:val="en-US" w:eastAsia="sv-SE"/>
              </w:rPr>
              <w:br/>
            </w:r>
            <w:r w:rsidRPr="00910C05">
              <w:rPr>
                <w:rFonts w:eastAsia="Calibri" w:cs="Calibri"/>
                <w:szCs w:val="24"/>
                <w:lang w:val="en-US" w:eastAsia="sv-SE"/>
              </w:rPr>
              <w:t>- By the Government of Nicaragua for training a new Integrated Planning Unit,</w:t>
            </w:r>
            <w:r w:rsidRPr="00910C05">
              <w:rPr>
                <w:rFonts w:asciiTheme="minorHAnsi" w:eastAsiaTheme="minorEastAsia" w:hAnsiTheme="minorHAnsi"/>
                <w:szCs w:val="24"/>
                <w:lang w:val="en-US" w:eastAsia="sv-SE"/>
              </w:rPr>
              <w:br/>
            </w:r>
            <w:r w:rsidRPr="00910C05">
              <w:rPr>
                <w:rFonts w:eastAsia="Calibri" w:cs="Calibri"/>
                <w:szCs w:val="24"/>
                <w:lang w:val="en-US" w:eastAsia="sv-SE"/>
              </w:rPr>
              <w:t xml:space="preserve"> - By the Government of Costa Rica for the assessment of Deep Decarbonisation Pathways;</w:t>
            </w:r>
          </w:p>
          <w:p w14:paraId="5059B4BA" w14:textId="77777777" w:rsidR="00910C05" w:rsidRPr="00910C05" w:rsidRDefault="00910C05" w:rsidP="003A09D8">
            <w:pPr>
              <w:numPr>
                <w:ilvl w:val="0"/>
                <w:numId w:val="24"/>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Model-based facilitation of dialogues (and resolution of conflicts) in the coordinated management of water resources in the Drina river transboundary basin, by the United Nations Economic Commission for Europe (UNECE): </w:t>
            </w:r>
            <w:hyperlink r:id="rId16">
              <w:r w:rsidRPr="00910C05">
                <w:rPr>
                  <w:rFonts w:eastAsia="Calibri" w:cs="Calibri"/>
                  <w:szCs w:val="24"/>
                  <w:lang w:val="en-US" w:eastAsia="sv-SE"/>
                </w:rPr>
                <w:t>link</w:t>
              </w:r>
            </w:hyperlink>
            <w:r w:rsidRPr="00910C05">
              <w:rPr>
                <w:rFonts w:eastAsia="Calibri" w:cs="Calibri"/>
                <w:szCs w:val="24"/>
                <w:lang w:val="en-US" w:eastAsia="sv-SE"/>
              </w:rPr>
              <w:t xml:space="preserve"> to final report by UNECE;</w:t>
            </w:r>
          </w:p>
          <w:p w14:paraId="1C773517" w14:textId="77777777" w:rsidR="00910C05" w:rsidRPr="00910C05" w:rsidRDefault="00910C05" w:rsidP="003A09D8">
            <w:pPr>
              <w:numPr>
                <w:ilvl w:val="0"/>
                <w:numId w:val="24"/>
              </w:numPr>
              <w:spacing w:after="0" w:line="259" w:lineRule="auto"/>
              <w:contextualSpacing/>
              <w:rPr>
                <w:rFonts w:asciiTheme="minorHAnsi" w:eastAsiaTheme="minorEastAsia" w:hAnsiTheme="minorHAnsi"/>
                <w:color w:val="1954A6" w:themeColor="accent1"/>
                <w:szCs w:val="24"/>
                <w:lang w:val="en-US" w:eastAsia="sv-SE"/>
              </w:rPr>
            </w:pPr>
            <w:r w:rsidRPr="00910C05">
              <w:rPr>
                <w:rFonts w:eastAsia="Calibri" w:cs="Calibri"/>
                <w:szCs w:val="24"/>
                <w:lang w:val="en-US" w:eastAsia="sv-SE"/>
              </w:rPr>
              <w:t xml:space="preserve">Included in the World Bank Group’s outlook on the enhancement of the climate resilience of Africa’s power and water infrastructure: </w:t>
            </w:r>
            <w:hyperlink r:id="rId17">
              <w:r w:rsidRPr="00910C05">
                <w:rPr>
                  <w:rFonts w:eastAsia="Calibri" w:cs="Calibri"/>
                  <w:color w:val="1954A6" w:themeColor="accent1"/>
                  <w:szCs w:val="24"/>
                  <w:lang w:val="en-US" w:eastAsia="sv-SE"/>
                </w:rPr>
                <w:t>https://openknowledge.worldbank.org/handle/10986/21875</w:t>
              </w:r>
            </w:hyperlink>
            <w:r w:rsidRPr="00910C05">
              <w:rPr>
                <w:rFonts w:eastAsia="Calibri" w:cs="Calibri"/>
                <w:color w:val="1954A6" w:themeColor="accent1"/>
                <w:szCs w:val="24"/>
                <w:lang w:val="en-US" w:eastAsia="sv-SE"/>
              </w:rPr>
              <w:t xml:space="preserve"> </w:t>
            </w:r>
          </w:p>
          <w:p w14:paraId="243C6DF4" w14:textId="77777777" w:rsidR="00910C05" w:rsidRPr="00910C05" w:rsidRDefault="00910C05" w:rsidP="003A09D8">
            <w:pPr>
              <w:numPr>
                <w:ilvl w:val="0"/>
                <w:numId w:val="24"/>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Result dissemination by publishing 70+ peer-reviewed scientific papers </w:t>
            </w:r>
            <w:r w:rsidRPr="00910C05">
              <w:rPr>
                <w:rFonts w:eastAsia="Calibri" w:cs="Calibri"/>
                <w:color w:val="1954A6" w:themeColor="accent1"/>
                <w:szCs w:val="24"/>
                <w:lang w:val="en-US" w:eastAsia="sv-SE"/>
              </w:rPr>
              <w:t>(</w:t>
            </w:r>
            <w:hyperlink r:id="rId18">
              <w:r w:rsidRPr="00910C05">
                <w:rPr>
                  <w:rFonts w:eastAsia="Calibri" w:cs="Calibri"/>
                  <w:color w:val="1954A6" w:themeColor="accent1"/>
                  <w:szCs w:val="24"/>
                  <w:lang w:val="en-US" w:eastAsia="sv-SE"/>
                </w:rPr>
                <w:t>http://www.osemosys.org/publications1.html</w:t>
              </w:r>
            </w:hyperlink>
            <w:r w:rsidRPr="00910C05">
              <w:rPr>
                <w:rFonts w:eastAsia="Calibri" w:cs="Calibri"/>
                <w:color w:val="1954A6" w:themeColor="accent1"/>
                <w:szCs w:val="24"/>
                <w:lang w:val="en-US" w:eastAsia="sv-SE"/>
              </w:rPr>
              <w:t xml:space="preserve"> )</w:t>
            </w:r>
            <w:r w:rsidRPr="00910C05">
              <w:rPr>
                <w:rFonts w:eastAsia="Calibri" w:cs="Calibri"/>
                <w:szCs w:val="24"/>
                <w:lang w:val="en-US" w:eastAsia="sv-SE"/>
              </w:rPr>
              <w:t>, including publication in Nature journals (</w:t>
            </w:r>
            <w:hyperlink r:id="rId19">
              <w:r w:rsidRPr="00910C05">
                <w:rPr>
                  <w:rFonts w:eastAsia="Calibri" w:cs="Calibri"/>
                  <w:color w:val="1954A6" w:themeColor="accent1"/>
                  <w:szCs w:val="24"/>
                  <w:lang w:val="en-US" w:eastAsia="sv-SE"/>
                </w:rPr>
                <w:t>https://www.nature.com/articles/s41467-018-08275-7</w:t>
              </w:r>
            </w:hyperlink>
            <w:r w:rsidRPr="00910C05">
              <w:rPr>
                <w:rFonts w:eastAsia="Calibri" w:cs="Calibri"/>
                <w:color w:val="1954A6" w:themeColor="accent1"/>
                <w:szCs w:val="24"/>
                <w:lang w:val="en-US" w:eastAsia="sv-SE"/>
              </w:rPr>
              <w:t xml:space="preserve"> </w:t>
            </w:r>
            <w:r w:rsidRPr="00910C05">
              <w:rPr>
                <w:rFonts w:eastAsia="Calibri" w:cs="Calibri"/>
                <w:szCs w:val="24"/>
                <w:lang w:val="en-US" w:eastAsia="sv-SE"/>
              </w:rPr>
              <w:t xml:space="preserve">) </w:t>
            </w:r>
          </w:p>
          <w:p w14:paraId="3D52DEC4" w14:textId="77777777" w:rsidR="00910C05" w:rsidRPr="00910C05" w:rsidRDefault="00910C05" w:rsidP="003A09D8">
            <w:pPr>
              <w:numPr>
                <w:ilvl w:val="0"/>
                <w:numId w:val="24"/>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Use for higher eductation teaching in 30+ universities worldwide (</w:t>
            </w:r>
            <w:hyperlink r:id="rId20" w:anchor="!topic/osemosys/nN5MooESn8k">
              <w:r w:rsidRPr="00910C05">
                <w:rPr>
                  <w:rFonts w:eastAsia="Calibri" w:cs="Calibri"/>
                  <w:color w:val="1954A6" w:themeColor="accent1"/>
                  <w:szCs w:val="24"/>
                  <w:lang w:val="en-US" w:eastAsia="sv-SE"/>
                </w:rPr>
                <w:t>https://groups.google.com/forum/#!topic/osemosys/nN5MooESn8k</w:t>
              </w:r>
            </w:hyperlink>
            <w:r w:rsidRPr="00910C05">
              <w:rPr>
                <w:rFonts w:eastAsia="Calibri" w:cs="Calibri"/>
                <w:color w:val="1954A6" w:themeColor="accent1"/>
                <w:szCs w:val="24"/>
                <w:lang w:val="en-US" w:eastAsia="sv-SE"/>
              </w:rPr>
              <w:t xml:space="preserve"> </w:t>
            </w:r>
            <w:r w:rsidRPr="00910C05">
              <w:rPr>
                <w:rFonts w:eastAsia="Calibri" w:cs="Calibri"/>
                <w:szCs w:val="24"/>
                <w:lang w:val="en-US" w:eastAsia="sv-SE"/>
              </w:rPr>
              <w:t>);</w:t>
            </w:r>
          </w:p>
          <w:p w14:paraId="2F38D6BA"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32926906" w14:textId="77777777" w:rsidR="00910C05" w:rsidRPr="00910C05" w:rsidRDefault="00910C05" w:rsidP="00910C05">
            <w:pPr>
              <w:spacing w:after="0" w:line="259" w:lineRule="auto"/>
              <w:rPr>
                <w:rFonts w:cs="Calibri"/>
                <w:lang w:val="en-US"/>
              </w:rPr>
            </w:pPr>
            <w:r w:rsidRPr="00910C05">
              <w:rPr>
                <w:rFonts w:cs="Calibri"/>
                <w:lang w:val="en-US"/>
              </w:rPr>
              <w:t xml:space="preserve">OSeMOSYS was first conceptualized at the International Atomic Energy Agency in 2008 and then developed, presented at the 2008 International Energy Workshop and published in 2011 by Howells et al. It came as a response to the observation that all countries need to quantitatively assess the evolution of their energy sectors due to energy’s highly strategic role in development. </w:t>
            </w:r>
          </w:p>
          <w:p w14:paraId="35D3E1A6"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1C84684F" w14:textId="77777777" w:rsidR="00910C05" w:rsidRPr="00910C05" w:rsidRDefault="00910C05" w:rsidP="00910C05">
            <w:pPr>
              <w:spacing w:after="0" w:line="259" w:lineRule="auto"/>
              <w:rPr>
                <w:rFonts w:cs="Calibri"/>
                <w:lang w:val="en-US"/>
              </w:rPr>
            </w:pPr>
            <w:r w:rsidRPr="00910C05">
              <w:rPr>
                <w:rFonts w:cs="Calibri"/>
                <w:lang w:val="en-US"/>
              </w:rPr>
              <w:t xml:space="preserve">It was amongst the first fully open source energy modelling tools and it was designed as a free, flexible and simple energy modelling tool, accessible for researchers and decision makers from developing countries, with limited (human and computational) resources and funding. </w:t>
            </w:r>
          </w:p>
          <w:p w14:paraId="1EA271B9" w14:textId="77777777" w:rsidR="00910C05" w:rsidRPr="00910C05" w:rsidRDefault="00910C05" w:rsidP="00910C05">
            <w:pPr>
              <w:spacing w:after="0" w:line="259" w:lineRule="auto"/>
              <w:rPr>
                <w:rFonts w:cs="Calibri"/>
                <w:lang w:val="en-US"/>
              </w:rPr>
            </w:pPr>
            <w:r w:rsidRPr="00910C05">
              <w:rPr>
                <w:rFonts w:cs="Calibri"/>
                <w:lang w:val="en-US"/>
              </w:rPr>
              <w:t xml:space="preserve"> </w:t>
            </w:r>
          </w:p>
          <w:p w14:paraId="58F18392" w14:textId="77777777" w:rsidR="00910C05" w:rsidRPr="00910C05" w:rsidRDefault="00910C05" w:rsidP="00910C05">
            <w:pPr>
              <w:spacing w:after="0" w:line="259" w:lineRule="auto"/>
              <w:rPr>
                <w:rFonts w:cs="Calibri"/>
                <w:lang w:val="en-US"/>
              </w:rPr>
            </w:pPr>
            <w:r w:rsidRPr="00910C05">
              <w:rPr>
                <w:rFonts w:cs="Calibri"/>
                <w:lang w:val="en-US"/>
              </w:rPr>
              <w:t xml:space="preserve">The design according to such target use made OSeMOSYS particularly suitable for teaching and for capacity building programs in developing countries. The former led to the establishment of a large, worldwide basis of researchers producing knowledge, </w:t>
            </w:r>
            <w:r w:rsidRPr="00910C05">
              <w:rPr>
                <w:rFonts w:cs="Calibri"/>
                <w:lang w:val="en-US"/>
              </w:rPr>
              <w:lastRenderedPageBreak/>
              <w:t>teaching material and new courses in energy and integrated systems modelling. This ensures that the development and use of the tool is anchored in Higher Education Institutions, where ground knowledge, long-term capacity, independent research and innovation are continuously created. The latter led to supporting ongoing in-country efforts by organizations specifically mandated to support sustainable development planning: World Bank Group, United Nations (UNDESA, UNDP, UNECE, UNECA, UNESCAP, to cite some).</w:t>
            </w:r>
          </w:p>
          <w:p w14:paraId="44516F2D" w14:textId="77777777" w:rsidR="00910C05" w:rsidRPr="00910C05" w:rsidRDefault="00910C05" w:rsidP="00910C05">
            <w:pPr>
              <w:spacing w:after="0" w:line="259" w:lineRule="auto"/>
              <w:rPr>
                <w:rFonts w:cs="Calibri"/>
                <w:lang w:val="en-US"/>
              </w:rPr>
            </w:pPr>
          </w:p>
          <w:p w14:paraId="0322E3D9" w14:textId="77777777" w:rsidR="00910C05" w:rsidRPr="00910C05" w:rsidRDefault="00910C05" w:rsidP="00910C05">
            <w:pPr>
              <w:spacing w:after="0" w:line="259" w:lineRule="auto"/>
              <w:rPr>
                <w:rFonts w:cs="Calibri"/>
              </w:rPr>
            </w:pPr>
          </w:p>
          <w:p w14:paraId="6C8BAEC8" w14:textId="77777777" w:rsidR="00910C05" w:rsidRPr="00910C05" w:rsidRDefault="00910C05" w:rsidP="00910C05">
            <w:pPr>
              <w:spacing w:after="0"/>
              <w:rPr>
                <w:rFonts w:eastAsia="Times New Roman" w:cs="Calibri"/>
                <w:b/>
                <w:bCs/>
                <w:sz w:val="26"/>
                <w:szCs w:val="26"/>
                <w:lang w:val="en-US"/>
              </w:rPr>
            </w:pPr>
            <w:r w:rsidRPr="00910C05">
              <w:rPr>
                <w:rFonts w:eastAsia="Times New Roman" w:cs="Calibri"/>
                <w:b/>
                <w:bCs/>
                <w:sz w:val="26"/>
                <w:szCs w:val="26"/>
              </w:rPr>
              <w:t>Case IV:</w:t>
            </w:r>
            <w:r w:rsidRPr="00910C05">
              <w:rPr>
                <w:rFonts w:eastAsia="Times New Roman" w:cs="Calibri"/>
                <w:b/>
                <w:bCs/>
                <w:sz w:val="26"/>
                <w:szCs w:val="26"/>
                <w:lang w:val="en-US"/>
              </w:rPr>
              <w:t>High-impact research on solar energy systems</w:t>
            </w:r>
          </w:p>
          <w:p w14:paraId="45BD1C47" w14:textId="77777777" w:rsidR="00910C05" w:rsidRPr="00910C05" w:rsidRDefault="00910C05" w:rsidP="00910C05">
            <w:pPr>
              <w:spacing w:after="0"/>
              <w:rPr>
                <w:rFonts w:eastAsia="Times New Roman" w:cs="Calibri"/>
                <w:b/>
                <w:bCs/>
                <w:sz w:val="26"/>
                <w:szCs w:val="26"/>
                <w:lang w:val="en-US"/>
              </w:rPr>
            </w:pPr>
          </w:p>
          <w:p w14:paraId="02F2B6AC" w14:textId="77777777" w:rsidR="00910C05" w:rsidRPr="00910C05" w:rsidRDefault="00910C05" w:rsidP="00910C05">
            <w:pPr>
              <w:spacing w:line="276" w:lineRule="auto"/>
            </w:pPr>
            <w:r w:rsidRPr="00910C05">
              <w:rPr>
                <w:rFonts w:eastAsia="Calibri" w:cs="Calibri"/>
                <w:b/>
                <w:bCs/>
                <w:szCs w:val="24"/>
                <w:lang w:val="en-US"/>
              </w:rPr>
              <w:t xml:space="preserve">The increased interest for solar energy, from industry and the public, is expected to drive continued high-impact research in this topic for the foreseeable future. Research within the field of solar energy integration with building energy systems and Concentrating Solar Power has been growing within the Energy Technology department the last years, making KTH a leading solar research institute in the Nordic countries. </w:t>
            </w:r>
          </w:p>
          <w:p w14:paraId="3456A706" w14:textId="77777777" w:rsidR="00910C05" w:rsidRPr="00910C05" w:rsidRDefault="00910C05" w:rsidP="00910C05">
            <w:pPr>
              <w:spacing w:line="276" w:lineRule="auto"/>
              <w:rPr>
                <w:rFonts w:eastAsia="Times New Roman" w:cs="Calibri"/>
                <w:b/>
                <w:bCs/>
                <w:sz w:val="26"/>
                <w:szCs w:val="26"/>
                <w:lang w:val="en-US"/>
              </w:rPr>
            </w:pPr>
            <w:r w:rsidRPr="00910C05">
              <w:rPr>
                <w:rFonts w:eastAsiaTheme="minorEastAsia"/>
                <w:b/>
                <w:bCs/>
                <w:szCs w:val="24"/>
                <w:lang w:val="en-US"/>
              </w:rPr>
              <w:t>Solar energy in the built-environment</w:t>
            </w:r>
          </w:p>
          <w:p w14:paraId="7B52500B" w14:textId="77777777" w:rsidR="00910C05" w:rsidRPr="00910C05" w:rsidRDefault="00910C05" w:rsidP="00910C05">
            <w:pPr>
              <w:rPr>
                <w:rFonts w:eastAsia="Calibri" w:cs="Calibri"/>
                <w:lang w:val="en-US"/>
              </w:rPr>
            </w:pPr>
            <w:r w:rsidRPr="00910C05">
              <w:rPr>
                <w:rFonts w:eastAsia="Calibri" w:cs="Calibri"/>
                <w:lang w:val="en-US"/>
              </w:rPr>
              <w:t xml:space="preserve">Between 2013 and 2016, a comprehensive techno-economic analysis on solar photovoltaics (PV) in Swedish multi-family housing (MFH). Several well-cited scientific papers were published, but also significant social impact from a </w:t>
            </w:r>
            <w:hyperlink r:id="rId21">
              <w:r w:rsidRPr="00910C05">
                <w:rPr>
                  <w:rFonts w:eastAsia="Calibri" w:cs="Calibri"/>
                  <w:color w:val="0000FF"/>
                  <w:u w:val="single"/>
                  <w:lang w:val="en-US"/>
                </w:rPr>
                <w:t>KTH published report</w:t>
              </w:r>
            </w:hyperlink>
            <w:r w:rsidRPr="00910C05">
              <w:rPr>
                <w:rFonts w:eastAsia="Calibri" w:cs="Calibri"/>
                <w:color w:val="0000FF"/>
                <w:u w:val="single"/>
                <w:lang w:val="en-US"/>
              </w:rPr>
              <w:t xml:space="preserve"> </w:t>
            </w:r>
            <w:r w:rsidRPr="00910C05">
              <w:rPr>
                <w:rFonts w:eastAsia="Calibri" w:cs="Calibri"/>
                <w:lang w:val="en-US"/>
              </w:rPr>
              <w:t>on PV investment for prosumers (over 1000 downloads) and the</w:t>
            </w:r>
            <w:r w:rsidRPr="00910C05">
              <w:rPr>
                <w:rFonts w:eastAsia="Calibri" w:cs="Calibri"/>
                <w:color w:val="0000FF"/>
                <w:u w:val="single"/>
                <w:lang w:val="en-US"/>
              </w:rPr>
              <w:t xml:space="preserve"> </w:t>
            </w:r>
            <w:hyperlink r:id="rId22">
              <w:r w:rsidRPr="00910C05">
                <w:rPr>
                  <w:rFonts w:eastAsia="Calibri" w:cs="Calibri"/>
                  <w:color w:val="0000FF"/>
                  <w:u w:val="single"/>
                  <w:lang w:val="en-US"/>
                </w:rPr>
                <w:t>accompanying handbook</w:t>
              </w:r>
            </w:hyperlink>
            <w:r w:rsidRPr="00910C05">
              <w:rPr>
                <w:rFonts w:eastAsia="Calibri" w:cs="Calibri"/>
                <w:color w:val="0000FF"/>
                <w:u w:val="single"/>
                <w:lang w:val="en-US"/>
              </w:rPr>
              <w:t xml:space="preserve"> </w:t>
            </w:r>
            <w:r w:rsidRPr="00910C05">
              <w:rPr>
                <w:rFonts w:eastAsia="Calibri" w:cs="Calibri"/>
                <w:lang w:val="en-US"/>
              </w:rPr>
              <w:t xml:space="preserve">in Swedish (over 1800 downloads). The handbook download is linked on </w:t>
            </w:r>
            <w:hyperlink r:id="rId23">
              <w:r w:rsidRPr="00910C05">
                <w:rPr>
                  <w:rFonts w:eastAsia="Calibri" w:cs="Calibri"/>
                  <w:lang w:val="en-US"/>
                </w:rPr>
                <w:t>Stockholm Regions’ Energy Advisory website</w:t>
              </w:r>
            </w:hyperlink>
            <w:r w:rsidRPr="00910C05">
              <w:rPr>
                <w:rFonts w:eastAsia="Calibri" w:cs="Calibri"/>
                <w:lang w:val="en-US"/>
              </w:rPr>
              <w:t xml:space="preserve"> and 200 printed copies have been distributed around Sweden. Requests for more printed copies and market updates have been received from municipal energy advisors as recently as 2020.</w:t>
            </w:r>
          </w:p>
          <w:p w14:paraId="1FD5B60D" w14:textId="77777777" w:rsidR="00910C05" w:rsidRPr="00910C05" w:rsidRDefault="00910C05" w:rsidP="00910C05">
            <w:pPr>
              <w:rPr>
                <w:rFonts w:eastAsia="Calibri" w:cs="Calibri"/>
                <w:szCs w:val="24"/>
                <w:lang w:val="en-US"/>
              </w:rPr>
            </w:pPr>
            <w:r w:rsidRPr="00910C05">
              <w:rPr>
                <w:rFonts w:eastAsia="Calibri" w:cs="Calibri"/>
                <w:szCs w:val="24"/>
                <w:lang w:val="en-US"/>
              </w:rPr>
              <w:t>Between 2015 and 2018, the heat pump experience was combined with new solar analyses in two complementary projects focused on the integration of PV-thermal (PVT) hybrid collectors into ground source heat pumps (GSHP), combining key industrial stakeholders from solar and heating industries. Through speaking engagements at several international (</w:t>
            </w:r>
            <w:hyperlink r:id="rId24">
              <w:r w:rsidRPr="00910C05">
                <w:rPr>
                  <w:rFonts w:eastAsia="Calibri" w:cs="Calibri"/>
                  <w:color w:val="0000FF"/>
                  <w:szCs w:val="24"/>
                  <w:u w:val="single"/>
                  <w:lang w:val="en-US"/>
                </w:rPr>
                <w:t>IEA Heat Pump Conference</w:t>
              </w:r>
            </w:hyperlink>
            <w:r w:rsidRPr="00910C05">
              <w:rPr>
                <w:rFonts w:eastAsia="Calibri" w:cs="Calibri"/>
                <w:szCs w:val="24"/>
                <w:lang w:val="en-US"/>
              </w:rPr>
              <w:t>) and Swedish heat pump conferences (</w:t>
            </w:r>
            <w:hyperlink r:id="rId25">
              <w:r w:rsidRPr="00910C05">
                <w:rPr>
                  <w:rFonts w:eastAsia="Calibri" w:cs="Calibri"/>
                  <w:color w:val="0000FF"/>
                  <w:szCs w:val="24"/>
                  <w:u w:val="single"/>
                  <w:lang w:val="en-US"/>
                </w:rPr>
                <w:t>Svenska Kyl &amp; Värmepumpdagen</w:t>
              </w:r>
            </w:hyperlink>
            <w:r w:rsidRPr="00910C05">
              <w:rPr>
                <w:rFonts w:eastAsia="Calibri" w:cs="Calibri"/>
                <w:color w:val="0000FF"/>
                <w:szCs w:val="24"/>
                <w:u w:val="single"/>
                <w:lang w:val="en-US"/>
              </w:rPr>
              <w:t>,</w:t>
            </w:r>
            <w:r w:rsidRPr="00910C05">
              <w:rPr>
                <w:rFonts w:eastAsia="Calibri" w:cs="Calibri"/>
                <w:szCs w:val="24"/>
                <w:lang w:val="en-US"/>
              </w:rPr>
              <w:t xml:space="preserve"> </w:t>
            </w:r>
            <w:hyperlink r:id="rId26">
              <w:r w:rsidRPr="00910C05">
                <w:rPr>
                  <w:rFonts w:eastAsia="Calibri" w:cs="Calibri"/>
                  <w:color w:val="0000FF"/>
                  <w:szCs w:val="24"/>
                  <w:u w:val="single"/>
                  <w:lang w:val="en-US"/>
                </w:rPr>
                <w:t>Geoenergidagen</w:t>
              </w:r>
            </w:hyperlink>
            <w:r w:rsidRPr="00910C05">
              <w:rPr>
                <w:rFonts w:eastAsia="Calibri" w:cs="Calibri"/>
                <w:szCs w:val="24"/>
                <w:lang w:val="en-US"/>
              </w:rPr>
              <w:t>), industrial interest in the concept has grown, sparking several Swedish startup companies aiming to commercialize the concept (</w:t>
            </w:r>
            <w:hyperlink r:id="rId27">
              <w:r w:rsidRPr="00910C05">
                <w:rPr>
                  <w:rFonts w:eastAsia="Calibri" w:cs="Calibri"/>
                  <w:color w:val="0000FF"/>
                  <w:szCs w:val="24"/>
                  <w:u w:val="single"/>
                  <w:lang w:val="en-US"/>
                </w:rPr>
                <w:t>Solhybrid i Småland</w:t>
              </w:r>
            </w:hyperlink>
            <w:r w:rsidRPr="00910C05">
              <w:rPr>
                <w:rFonts w:eastAsia="Calibri" w:cs="Calibri"/>
                <w:color w:val="0000FF"/>
                <w:szCs w:val="24"/>
                <w:u w:val="single"/>
                <w:lang w:val="en-US"/>
              </w:rPr>
              <w:t xml:space="preserve">, </w:t>
            </w:r>
            <w:hyperlink r:id="rId28">
              <w:r w:rsidRPr="00910C05">
                <w:rPr>
                  <w:rFonts w:eastAsia="Calibri" w:cs="Calibri"/>
                  <w:color w:val="0000FF"/>
                  <w:szCs w:val="24"/>
                  <w:u w:val="single"/>
                  <w:lang w:val="en-US"/>
                </w:rPr>
                <w:t>Sonority Sustainable Energy</w:t>
              </w:r>
            </w:hyperlink>
            <w:r w:rsidRPr="00910C05">
              <w:rPr>
                <w:rFonts w:eastAsia="Calibri" w:cs="Calibri"/>
                <w:color w:val="0000FF"/>
                <w:szCs w:val="24"/>
                <w:u w:val="single"/>
                <w:lang w:val="en-US"/>
              </w:rPr>
              <w:t xml:space="preserve">, </w:t>
            </w:r>
            <w:hyperlink r:id="rId29">
              <w:r w:rsidRPr="00910C05">
                <w:rPr>
                  <w:rFonts w:eastAsia="Calibri" w:cs="Calibri"/>
                  <w:color w:val="0000FF"/>
                  <w:szCs w:val="24"/>
                  <w:u w:val="single"/>
                  <w:lang w:val="en-US"/>
                </w:rPr>
                <w:t>Samster</w:t>
              </w:r>
            </w:hyperlink>
            <w:r w:rsidRPr="00910C05">
              <w:rPr>
                <w:rFonts w:eastAsia="Calibri" w:cs="Calibri"/>
                <w:szCs w:val="24"/>
                <w:lang w:val="en-US"/>
              </w:rPr>
              <w:t>) for the Swedish market and export.</w:t>
            </w:r>
          </w:p>
          <w:p w14:paraId="64B5D488" w14:textId="77777777" w:rsidR="00910C05" w:rsidRPr="00910C05" w:rsidRDefault="00910C05" w:rsidP="00910C05">
            <w:pPr>
              <w:rPr>
                <w:rFonts w:eastAsia="Calibri" w:cs="Calibri"/>
                <w:szCs w:val="24"/>
                <w:lang w:val="en-US"/>
              </w:rPr>
            </w:pPr>
            <w:r w:rsidRPr="00910C05">
              <w:rPr>
                <w:rFonts w:eastAsia="Calibri" w:cs="Calibri"/>
                <w:szCs w:val="24"/>
                <w:lang w:val="en-US"/>
              </w:rPr>
              <w:t xml:space="preserve">The research into PVT integrated heat pumps has led to the funding of two new projects; </w:t>
            </w:r>
          </w:p>
          <w:p w14:paraId="2EA74E02" w14:textId="77777777" w:rsidR="00910C05" w:rsidRPr="00910C05" w:rsidRDefault="00910C05" w:rsidP="003A09D8">
            <w:pPr>
              <w:numPr>
                <w:ilvl w:val="0"/>
                <w:numId w:val="23"/>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PVT collector and solar heat pump systems development running from 2020-2024. </w:t>
            </w:r>
          </w:p>
          <w:p w14:paraId="63686C14" w14:textId="77777777" w:rsidR="00910C05" w:rsidRPr="00910C05" w:rsidRDefault="00910C05" w:rsidP="003A09D8">
            <w:pPr>
              <w:numPr>
                <w:ilvl w:val="0"/>
                <w:numId w:val="23"/>
              </w:numPr>
              <w:spacing w:after="0" w:line="259" w:lineRule="auto"/>
              <w:contextualSpacing/>
              <w:rPr>
                <w:rFonts w:asciiTheme="minorHAnsi" w:eastAsiaTheme="minorEastAsia" w:hAnsiTheme="minorHAnsi"/>
                <w:szCs w:val="24"/>
                <w:lang w:val="en-US" w:eastAsia="sv-SE"/>
              </w:rPr>
            </w:pPr>
            <w:r w:rsidRPr="00910C05">
              <w:rPr>
                <w:rFonts w:eastAsia="Calibri" w:cs="Calibri"/>
                <w:szCs w:val="24"/>
                <w:lang w:val="en-US" w:eastAsia="sv-SE"/>
              </w:rPr>
              <w:t>Commercialization of PV-integrated heat pumps running from 2019 through 2021, working within the IEA’s Heat Pumping Technologies Annex 55.</w:t>
            </w:r>
          </w:p>
          <w:p w14:paraId="380734CD" w14:textId="77777777" w:rsidR="00910C05" w:rsidRPr="00910C05" w:rsidRDefault="00910C05" w:rsidP="00910C05">
            <w:pPr>
              <w:spacing w:after="0" w:line="259" w:lineRule="auto"/>
              <w:ind w:left="360" w:hanging="360"/>
              <w:rPr>
                <w:rFonts w:eastAsia="Calibri" w:cs="Calibri"/>
                <w:szCs w:val="24"/>
                <w:lang w:val="en-US"/>
              </w:rPr>
            </w:pPr>
          </w:p>
          <w:p w14:paraId="078167C8" w14:textId="77777777" w:rsidR="00910C05" w:rsidRPr="00910C05" w:rsidRDefault="00910C05" w:rsidP="00910C05">
            <w:pPr>
              <w:rPr>
                <w:rFonts w:eastAsia="Calibri" w:cs="Calibri"/>
                <w:szCs w:val="24"/>
                <w:lang w:val="en-US"/>
              </w:rPr>
            </w:pPr>
            <w:r w:rsidRPr="00910C05">
              <w:rPr>
                <w:rFonts w:eastAsia="Calibri" w:cs="Calibri"/>
                <w:szCs w:val="24"/>
                <w:lang w:val="en-US"/>
              </w:rPr>
              <w:t>This new work in solar heat pump integration is expected to play a pivotal role in the electrification of buildings as one of the future trends at the European and Global level. In Sweden there are two primary markets where the concept has the greatest impact potential; villas with older GSHP ready to be replaced, and large buildings where GSHP are not currently possible (e.g. Miljonprogrammet housing complexes). In temperate climates, PVT heat pumps can compete with and improve on air source heat pumps, presenting large export potential for the Swedish heat pump industry.</w:t>
            </w:r>
          </w:p>
          <w:p w14:paraId="0A7705D4" w14:textId="77777777" w:rsidR="00910C05" w:rsidRPr="00910C05" w:rsidRDefault="00910C05" w:rsidP="00910C05">
            <w:pPr>
              <w:rPr>
                <w:rFonts w:eastAsia="Calibri" w:cs="Calibri"/>
                <w:szCs w:val="24"/>
                <w:lang w:val="en-US"/>
              </w:rPr>
            </w:pPr>
            <w:r w:rsidRPr="00910C05">
              <w:rPr>
                <w:rFonts w:eastAsia="Calibri" w:cs="Calibri"/>
                <w:szCs w:val="24"/>
                <w:lang w:val="en-US"/>
              </w:rPr>
              <w:t>The scope of the department is also expanding into more inter-disciplinary research on the topic with a new project running from 2019-2021 that combines behavioral economics and energy expertise to study PV investment behavior in a real-world setting. This approach is rare in energy behavior research and is expected to improve the methods and strategies for communication between energy companies, technology providers and potential renewable energy investors.</w:t>
            </w:r>
          </w:p>
          <w:p w14:paraId="132742E7" w14:textId="77777777" w:rsidR="00910C05" w:rsidRPr="00910C05" w:rsidRDefault="00910C05" w:rsidP="00910C05">
            <w:pPr>
              <w:rPr>
                <w:rFonts w:eastAsia="Calibri" w:cs="Calibri"/>
                <w:b/>
                <w:bCs/>
                <w:szCs w:val="24"/>
                <w:lang w:val="en-US"/>
              </w:rPr>
            </w:pPr>
            <w:r w:rsidRPr="00910C05">
              <w:br/>
            </w:r>
            <w:r w:rsidRPr="00910C05">
              <w:rPr>
                <w:rFonts w:eastAsia="Calibri" w:cs="Calibri"/>
                <w:b/>
                <w:bCs/>
                <w:szCs w:val="24"/>
                <w:lang w:val="en-US"/>
              </w:rPr>
              <w:t>Concentrating solar power technology (CSP)</w:t>
            </w:r>
          </w:p>
          <w:p w14:paraId="643E43D3" w14:textId="77777777" w:rsidR="00910C05" w:rsidRPr="00910C05" w:rsidRDefault="00910C05" w:rsidP="00910C05">
            <w:pPr>
              <w:spacing w:line="276" w:lineRule="auto"/>
              <w:rPr>
                <w:rFonts w:eastAsia="Calibri" w:cs="Calibri"/>
                <w:szCs w:val="24"/>
                <w:lang w:val="en-US"/>
              </w:rPr>
            </w:pPr>
            <w:r w:rsidRPr="00910C05">
              <w:rPr>
                <w:rFonts w:eastAsia="Calibri" w:cs="Calibri"/>
                <w:szCs w:val="24"/>
                <w:lang w:val="en-US"/>
              </w:rPr>
              <w:t>Concentrating solar power technology (CSP) has great potential in providing large amounts of electrical power and in reducing the CO</w:t>
            </w:r>
            <w:r w:rsidRPr="00910C05">
              <w:rPr>
                <w:rFonts w:eastAsia="Calibri" w:cs="Calibri"/>
                <w:szCs w:val="24"/>
                <w:vertAlign w:val="subscript"/>
                <w:lang w:val="en-US"/>
              </w:rPr>
              <w:t>2</w:t>
            </w:r>
            <w:r w:rsidRPr="00910C05">
              <w:rPr>
                <w:rFonts w:eastAsia="Calibri" w:cs="Calibri"/>
                <w:szCs w:val="24"/>
                <w:lang w:val="en-US"/>
              </w:rPr>
              <w:t xml:space="preserve"> emissions. Unlike Photovoltaics, CSP can be easily integrated with cheap thermal storage or renewable fuel-based hybrid subsystems to offer constant power output which is important for grid integration. Specific impacts: </w:t>
            </w:r>
          </w:p>
          <w:p w14:paraId="43BCE06D" w14:textId="77777777" w:rsidR="00910C05" w:rsidRPr="00910C05" w:rsidRDefault="00910C05" w:rsidP="003A09D8">
            <w:pPr>
              <w:numPr>
                <w:ilvl w:val="0"/>
                <w:numId w:val="22"/>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During the past six years, the department has developed the world’s first high-flux solar simulator based on Fresnel lens technology. It is also a unique large-scale indoor facility for CSP research in Nordic countries. The completion of this solar simulator has attracted a lot of attention both from Sweden and internationally. In February 2015, the Swedish King [1] and the Prime Minister [2] have visited the new facility to show their support in developing renewable energy technologies. Besides, the solar simulator was also reported by several public media, such as &lt;Ny Teknik&gt; [3], KTH webpage. These social events have greatly enhanced KTH's visibility in the field of CSP. </w:t>
            </w:r>
          </w:p>
          <w:p w14:paraId="3FFA8938" w14:textId="77777777" w:rsidR="00910C05" w:rsidRPr="00910C05" w:rsidRDefault="00910C05" w:rsidP="003A09D8">
            <w:pPr>
              <w:numPr>
                <w:ilvl w:val="0"/>
                <w:numId w:val="22"/>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Our research activities have also encouraged the Swedish industry's enthusiasm for investing in solar thermal technology. With the help of the solar simulator, we have successfully assisted several Swedish industrial partners developing new products and strengthening their competitiveness in global CSP market. For example, our strategic partner Azelio has successfully installed its system in Morocco and Middle East countries. </w:t>
            </w:r>
          </w:p>
          <w:p w14:paraId="096EF819" w14:textId="77777777" w:rsidR="00910C05" w:rsidRPr="00910C05" w:rsidRDefault="00910C05" w:rsidP="003A09D8">
            <w:pPr>
              <w:numPr>
                <w:ilvl w:val="0"/>
                <w:numId w:val="22"/>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During the past six years, the KTH CSP research group published considerable amount of papers in well-known journal and international conferences. New concepts and results have been contributed to global CSP research, enhancing also KTH’s research visibility.</w:t>
            </w:r>
          </w:p>
          <w:p w14:paraId="013086E4" w14:textId="77777777" w:rsidR="00910C05" w:rsidRPr="00910C05" w:rsidRDefault="00910C05" w:rsidP="003A09D8">
            <w:pPr>
              <w:numPr>
                <w:ilvl w:val="0"/>
                <w:numId w:val="22"/>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 xml:space="preserve">By means of the solar simulator, KTH has been able to develop and validate new CSP concepts, including the novel impinging receiver [4], for which KTH is pursuing a new record in useful outlet temperature (above 1000°C), and also </w:t>
            </w:r>
            <w:r w:rsidRPr="00910C05">
              <w:rPr>
                <w:rFonts w:eastAsia="Calibri" w:cs="Calibri"/>
                <w:szCs w:val="24"/>
                <w:lang w:val="en-US" w:eastAsia="sv-SE"/>
              </w:rPr>
              <w:lastRenderedPageBreak/>
              <w:t xml:space="preserve">new solar-hybrid gas-turbine systems. KTH have also tested advanced coatings and materials for the CSP community.  </w:t>
            </w:r>
          </w:p>
          <w:p w14:paraId="3DB387F5" w14:textId="77777777" w:rsidR="00910C05" w:rsidRPr="00910C05" w:rsidRDefault="00910C05" w:rsidP="00910C05">
            <w:pPr>
              <w:spacing w:line="276" w:lineRule="auto"/>
              <w:rPr>
                <w:rFonts w:eastAsia="Calibri" w:cs="Calibri"/>
                <w:szCs w:val="24"/>
                <w:lang w:val="en-US"/>
              </w:rPr>
            </w:pPr>
            <w:r w:rsidRPr="00910C05">
              <w:rPr>
                <w:rFonts w:eastAsia="Calibri" w:cs="Calibri"/>
                <w:szCs w:val="24"/>
                <w:lang w:val="en-US"/>
              </w:rPr>
              <w:t xml:space="preserve"> </w:t>
            </w:r>
          </w:p>
          <w:p w14:paraId="2B73A583" w14:textId="77777777" w:rsidR="00910C05" w:rsidRPr="00910C05" w:rsidRDefault="00910C05" w:rsidP="00910C05">
            <w:pPr>
              <w:spacing w:line="276" w:lineRule="auto"/>
              <w:rPr>
                <w:rFonts w:eastAsia="Calibri" w:cs="Calibri"/>
                <w:szCs w:val="24"/>
                <w:lang w:val="en-US"/>
              </w:rPr>
            </w:pPr>
            <w:r w:rsidRPr="00910C05">
              <w:rPr>
                <w:rFonts w:eastAsia="Calibri" w:cs="Calibri"/>
                <w:szCs w:val="24"/>
                <w:lang w:val="en-US"/>
              </w:rPr>
              <w:t xml:space="preserve">Furthermore, </w:t>
            </w:r>
            <w:r w:rsidRPr="00910C05">
              <w:rPr>
                <w:rFonts w:eastAsia="Calibri" w:cs="Calibri"/>
                <w:i/>
                <w:iCs/>
                <w:szCs w:val="24"/>
                <w:lang w:val="en-US"/>
              </w:rPr>
              <w:t>simulation tools for power plant performance, and power plant component design</w:t>
            </w:r>
            <w:r w:rsidRPr="00910C05">
              <w:rPr>
                <w:rFonts w:eastAsia="Calibri" w:cs="Calibri"/>
                <w:szCs w:val="24"/>
                <w:lang w:val="en-US"/>
              </w:rPr>
              <w:t xml:space="preserve">, have been developed and validated and used in international projects elsewhere. </w:t>
            </w:r>
            <w:r w:rsidRPr="00910C05">
              <w:rPr>
                <w:rFonts w:eastAsia="Calibri" w:cs="Calibri"/>
                <w:i/>
                <w:iCs/>
                <w:szCs w:val="24"/>
                <w:lang w:val="en-US"/>
              </w:rPr>
              <w:t>These tools</w:t>
            </w:r>
            <w:r w:rsidRPr="00910C05">
              <w:rPr>
                <w:rFonts w:eastAsia="Calibri" w:cs="Calibri"/>
                <w:szCs w:val="24"/>
                <w:lang w:val="en-US"/>
              </w:rPr>
              <w:t xml:space="preserve"> have been used in the following commercial projects and installations, having a direct impact on their outcome:</w:t>
            </w:r>
          </w:p>
          <w:p w14:paraId="0EA159ED" w14:textId="77777777" w:rsidR="00910C05" w:rsidRPr="00910C05" w:rsidRDefault="00910C05" w:rsidP="003A09D8">
            <w:pPr>
              <w:numPr>
                <w:ilvl w:val="0"/>
                <w:numId w:val="21"/>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Detailed thermomechanical studies have been performed at turbine level to enable more flexible operation of turbines in CSP plants, with specific reference to the Ivanpah Solar Complex in California, and also the Shams 1 CSP plant in the UAE. These projects were held in collaboration with Total, Siemens and Masdar – all international companies.</w:t>
            </w:r>
          </w:p>
          <w:p w14:paraId="5F038993" w14:textId="77777777" w:rsidR="00910C05" w:rsidRPr="00910C05" w:rsidRDefault="00910C05" w:rsidP="003A09D8">
            <w:pPr>
              <w:numPr>
                <w:ilvl w:val="0"/>
                <w:numId w:val="21"/>
              </w:numPr>
              <w:spacing w:after="0"/>
              <w:contextualSpacing/>
              <w:rPr>
                <w:rFonts w:asciiTheme="minorHAnsi" w:eastAsiaTheme="minorEastAsia" w:hAnsiTheme="minorHAnsi"/>
                <w:szCs w:val="24"/>
                <w:lang w:val="en-US" w:eastAsia="sv-SE"/>
              </w:rPr>
            </w:pPr>
            <w:r w:rsidRPr="00910C05">
              <w:rPr>
                <w:rFonts w:eastAsia="Calibri" w:cs="Calibri"/>
                <w:szCs w:val="24"/>
                <w:lang w:val="en-US" w:eastAsia="sv-SE"/>
              </w:rPr>
              <w:t>Pre-feasibility and technical offer preparation of CSP project proposals in response to tenders, including techno-economic optimization of systems (design and operation) proposed for projects in Chile, USA, Australia, Morocco, Mexico, UAE, and South Africa. These projects were realized in collaboration with USA based firm SolarReserve LLC.</w:t>
            </w:r>
          </w:p>
          <w:p w14:paraId="25C1BA40" w14:textId="77777777" w:rsidR="00910C05" w:rsidRPr="00910C05" w:rsidRDefault="00910C05" w:rsidP="003A09D8">
            <w:pPr>
              <w:numPr>
                <w:ilvl w:val="0"/>
                <w:numId w:val="21"/>
              </w:numPr>
              <w:spacing w:after="0"/>
              <w:contextualSpacing/>
              <w:rPr>
                <w:rFonts w:asciiTheme="minorHAnsi" w:eastAsiaTheme="minorEastAsia" w:hAnsiTheme="minorHAnsi"/>
                <w:sz w:val="26"/>
                <w:szCs w:val="26"/>
                <w:lang w:val="en-US" w:eastAsia="sv-SE"/>
              </w:rPr>
            </w:pPr>
            <w:r w:rsidRPr="00910C05">
              <w:rPr>
                <w:rFonts w:eastAsia="Calibri" w:cs="Calibri"/>
                <w:szCs w:val="24"/>
                <w:lang w:val="en-US" w:eastAsia="sv-SE"/>
              </w:rPr>
              <w:t>Feasibility of innovative hybrid CSP solutions (e.g. with PV and/or gas) and social aspects for plants in Morocco, in collaboration with the Moroccan Agency for Sustainable Energy.</w:t>
            </w:r>
          </w:p>
          <w:p w14:paraId="1412E7AB" w14:textId="77777777" w:rsidR="00910C05" w:rsidRPr="00910C05" w:rsidRDefault="00910C05" w:rsidP="00910C05">
            <w:pPr>
              <w:ind w:left="360"/>
              <w:rPr>
                <w:rFonts w:eastAsia="Calibri" w:cs="Calibri"/>
                <w:szCs w:val="24"/>
                <w:lang w:val="en-US"/>
              </w:rPr>
            </w:pPr>
          </w:p>
          <w:p w14:paraId="344E4A5D" w14:textId="77777777" w:rsidR="00910C05" w:rsidRPr="00910C05" w:rsidRDefault="00910C05" w:rsidP="00910C05">
            <w:pPr>
              <w:rPr>
                <w:rFonts w:eastAsia="Times New Roman" w:cs="Calibri"/>
                <w:b/>
                <w:bCs/>
                <w:sz w:val="26"/>
                <w:szCs w:val="26"/>
                <w:lang w:val="en-US"/>
              </w:rPr>
            </w:pPr>
            <w:r w:rsidRPr="00910C05">
              <w:rPr>
                <w:rFonts w:eastAsiaTheme="minorEastAsia"/>
                <w:b/>
                <w:bCs/>
                <w:sz w:val="26"/>
                <w:szCs w:val="26"/>
              </w:rPr>
              <w:t xml:space="preserve">Case V: </w:t>
            </w:r>
            <w:r w:rsidRPr="00910C05">
              <w:rPr>
                <w:rFonts w:eastAsiaTheme="minorEastAsia"/>
                <w:b/>
                <w:bCs/>
                <w:sz w:val="26"/>
                <w:szCs w:val="26"/>
                <w:lang w:val="en-US"/>
              </w:rPr>
              <w:t xml:space="preserve">Turbomachinery </w:t>
            </w:r>
          </w:p>
          <w:p w14:paraId="3A8790F3" w14:textId="77777777" w:rsidR="00910C05" w:rsidRPr="00910C05" w:rsidRDefault="00910C05" w:rsidP="00910C05">
            <w:pPr>
              <w:spacing w:line="276" w:lineRule="auto"/>
              <w:rPr>
                <w:rFonts w:eastAsia="Calibri" w:cs="Calibri"/>
                <w:b/>
                <w:bCs/>
                <w:szCs w:val="24"/>
                <w:lang w:val="en-US"/>
              </w:rPr>
            </w:pPr>
            <w:r w:rsidRPr="00910C05">
              <w:rPr>
                <w:rFonts w:eastAsia="Calibri" w:cs="Calibri"/>
                <w:b/>
                <w:bCs/>
                <w:szCs w:val="24"/>
                <w:lang w:val="en-US"/>
              </w:rPr>
              <w:t xml:space="preserve"> Turbo engines account for about 90-95% of the electricity generation in the world and a large part of the propulsion in the transport sector. In close cooperation with the leading industry and its challenges, the department has a widespread impact on fuel savings, cut CO2 emissions and safer and more reliable components.</w:t>
            </w:r>
          </w:p>
          <w:p w14:paraId="7DD098D5" w14:textId="77777777" w:rsidR="00910C05" w:rsidRPr="00910C05" w:rsidRDefault="00910C05" w:rsidP="00910C05">
            <w:pPr>
              <w:spacing w:line="276" w:lineRule="auto"/>
              <w:rPr>
                <w:rFonts w:eastAsia="Calibri" w:cs="Calibri"/>
                <w:szCs w:val="24"/>
                <w:lang w:val="en-US"/>
              </w:rPr>
            </w:pPr>
            <w:r w:rsidRPr="00910C05">
              <w:rPr>
                <w:rFonts w:eastAsia="Calibri" w:cs="Calibri"/>
                <w:szCs w:val="24"/>
                <w:lang w:val="en-US"/>
              </w:rPr>
              <w:t xml:space="preserve">Turbomachinery has been a central competence of the department of Energy Technology for several decades. The technical and scientific goals of the research create an accelerated direct impact on vibration related redesigns of current turbofan engines and the design of new more sustainable, efficient, reliable and robust engines at industry. </w:t>
            </w:r>
          </w:p>
          <w:p w14:paraId="46842C6C" w14:textId="77777777" w:rsidR="00910C05" w:rsidRPr="00910C05" w:rsidRDefault="00910C05" w:rsidP="00910C05">
            <w:pPr>
              <w:spacing w:line="276" w:lineRule="auto"/>
              <w:rPr>
                <w:rFonts w:eastAsia="Calibri" w:cs="Calibri"/>
                <w:szCs w:val="24"/>
                <w:lang w:val="en-US"/>
              </w:rPr>
            </w:pPr>
            <w:r w:rsidRPr="00910C05">
              <w:rPr>
                <w:rFonts w:eastAsia="Calibri" w:cs="Calibri"/>
                <w:szCs w:val="24"/>
                <w:lang w:val="en-US"/>
              </w:rPr>
              <w:t xml:space="preserve">The applied research performed at the department have been interlaced with the challenges that the leading industry is facing within the field and thereby provided valuable data for validation generated from the experimental test rigs and numerical tools developed within the group. </w:t>
            </w:r>
          </w:p>
          <w:p w14:paraId="57A90D9D" w14:textId="77777777" w:rsidR="00910C05" w:rsidRPr="00910C05" w:rsidRDefault="00910C05" w:rsidP="00910C05">
            <w:pPr>
              <w:spacing w:line="276" w:lineRule="auto"/>
              <w:rPr>
                <w:rFonts w:eastAsia="Calibri" w:cs="Calibri"/>
                <w:szCs w:val="24"/>
                <w:lang w:val="en-US"/>
              </w:rPr>
            </w:pPr>
            <w:r w:rsidRPr="00910C05">
              <w:rPr>
                <w:rFonts w:eastAsia="Calibri" w:cs="Calibri"/>
                <w:szCs w:val="24"/>
                <w:lang w:val="en-US"/>
              </w:rPr>
              <w:t xml:space="preserve"> The laboratory with its world-class experimental facilities, recognized in three EU framework programs through coordination of FP6 SUSPOWER, FP7 BRISK and H2020 BRISK2, is the foundation of the department’s excellence. We have successfully </w:t>
            </w:r>
            <w:r w:rsidRPr="00910C05">
              <w:rPr>
                <w:rFonts w:eastAsia="Calibri" w:cs="Calibri"/>
                <w:szCs w:val="24"/>
                <w:lang w:val="en-US"/>
              </w:rPr>
              <w:lastRenderedPageBreak/>
              <w:t xml:space="preserve">coordinated FP7 and H2020 project consortiums and has a strong rewarding exchange with industries and academia within the applied turbomachinery research.   </w:t>
            </w:r>
          </w:p>
          <w:p w14:paraId="0B7C2CD6" w14:textId="77777777" w:rsidR="00910C05" w:rsidRPr="00910C05" w:rsidRDefault="00910C05" w:rsidP="00910C05">
            <w:pPr>
              <w:spacing w:line="276" w:lineRule="auto"/>
              <w:rPr>
                <w:rFonts w:eastAsia="Calibri" w:cs="Calibri"/>
                <w:szCs w:val="24"/>
                <w:lang w:val="en-US"/>
              </w:rPr>
            </w:pPr>
            <w:r w:rsidRPr="00910C05">
              <w:rPr>
                <w:rFonts w:eastAsia="Calibri" w:cs="Calibri"/>
                <w:szCs w:val="24"/>
                <w:lang w:val="en-US"/>
              </w:rPr>
              <w:t xml:space="preserve"> Activities related to steam turbines, conducted with industry partner Siemens Industrial Turbines AB (SIT), were augmented with applications towards industrial gas turbines, jet and rocket engines with SIT and GKN Aerospace Sweden AB (GKN). The department coordinated the FP7 FUTURE1 project focusing on flutter-free turbomachine blades. The department brought together jet engine manufacturers and universities in H2020 ARIAS2, a KTH-coordinated project focusing on advanced research in aeromechanics. A new test facility is currently being designed and will be commissioned in 2020-2021. In parallel the group designed, constructed, and commissioned a test facility for investigating methane cooling in next-generation rocket engines funded by Swedish National Space Agency and European Space Agency within the Future Launch Preparatory Program. </w:t>
            </w:r>
          </w:p>
          <w:p w14:paraId="35D0B754" w14:textId="77777777" w:rsidR="00910C05" w:rsidRPr="00910C05" w:rsidRDefault="00910C05" w:rsidP="00910C05">
            <w:pPr>
              <w:spacing w:line="276" w:lineRule="auto"/>
              <w:rPr>
                <w:rFonts w:eastAsia="Calibri" w:cs="Calibri"/>
                <w:szCs w:val="24"/>
                <w:lang w:val="en-US"/>
              </w:rPr>
            </w:pPr>
            <w:r w:rsidRPr="00910C05">
              <w:rPr>
                <w:rFonts w:eastAsia="Calibri" w:cs="Calibri"/>
                <w:szCs w:val="24"/>
                <w:lang w:val="en-US"/>
              </w:rPr>
              <w:t xml:space="preserve"> Besides Vinnova funded research through the National Aeronautics Research Programme NFFP3 the research related to industrial gas turbines have been funded by Swedish National Energy Agency through the Turbopower programme4 up until 2016 but lately been augmented into commissioned research focusing on turbine cavity purge flow in collaboration with Siemens and Bath university, UK (1). Through the national research programme NFFP projects with TRL-levels stretching from 1 to 4 are performed in the group where the higher TRL level correspond to joint research demonstrator projects SWEDEMO5 and VIND/VINK6 with GKN, KTH, LTH and Chalmers.</w:t>
            </w:r>
          </w:p>
          <w:p w14:paraId="2315E417" w14:textId="77777777" w:rsidR="00910C05" w:rsidRPr="00910C05" w:rsidRDefault="00910C05" w:rsidP="00910C05">
            <w:pPr>
              <w:spacing w:line="276" w:lineRule="auto"/>
              <w:rPr>
                <w:rFonts w:eastAsia="Calibri" w:cs="Calibri"/>
                <w:szCs w:val="24"/>
                <w:lang w:val="en-US"/>
              </w:rPr>
            </w:pPr>
            <w:r w:rsidRPr="00910C05">
              <w:rPr>
                <w:rFonts w:eastAsia="Calibri" w:cs="Calibri"/>
                <w:szCs w:val="24"/>
                <w:lang w:val="en-US"/>
              </w:rPr>
              <w:t xml:space="preserve"> The department is responsible for a number of MS courses relatedto turbomachinery and rocket engines. The department is coordinating a joint master's programme in Turbomachinery Aeromechanical University Training (THRUST), which is a cooperation between KTH, Duke University, Aristotle University of Thessaloniki and Université de Liège. The programme offers education of high international standard as well as cultural experience from at least two different countries and a double degree from two universities (ref.). Department staff are active in the European Consortium for Advanced Training in Aerospace, ECATA7, and its annual executive training program. </w:t>
            </w:r>
          </w:p>
          <w:p w14:paraId="19DC0047" w14:textId="77777777" w:rsidR="00910C05" w:rsidRPr="00910C05" w:rsidRDefault="00910C05" w:rsidP="00910C05">
            <w:pPr>
              <w:spacing w:line="276" w:lineRule="auto"/>
              <w:rPr>
                <w:rFonts w:eastAsia="Calibri" w:cs="Calibri"/>
                <w:b/>
                <w:bCs/>
                <w:szCs w:val="24"/>
                <w:lang w:val="en-US"/>
              </w:rPr>
            </w:pPr>
            <w:r w:rsidRPr="00910C05">
              <w:rPr>
                <w:rFonts w:eastAsia="Calibri" w:cs="Calibri"/>
                <w:szCs w:val="24"/>
                <w:lang w:val="en-US"/>
              </w:rPr>
              <w:t xml:space="preserve"> A high research standard is ensured and measured by the number of journal publications regarding the many times complex phenomena, relevant for the research frontier within the field, here exemplified with references (1) to (10).</w:t>
            </w:r>
          </w:p>
          <w:p w14:paraId="280366EE" w14:textId="77777777" w:rsidR="00910C05" w:rsidRPr="00910C05" w:rsidRDefault="00910C05" w:rsidP="00910C05">
            <w:pPr>
              <w:spacing w:after="120"/>
              <w:rPr>
                <w:rFonts w:cs="Calibri"/>
                <w:i/>
                <w:iCs/>
              </w:rPr>
            </w:pPr>
            <w:r w:rsidRPr="00910C05">
              <w:rPr>
                <w:rFonts w:cs="Calibri"/>
                <w:b/>
                <w:bCs/>
              </w:rPr>
              <w:t>e.</w:t>
            </w:r>
            <w:r w:rsidRPr="00910C05">
              <w:rPr>
                <w:rFonts w:cs="Calibri"/>
                <w:i/>
                <w:iCs/>
              </w:rPr>
              <w:t xml:space="preserve"> Structure for increased impact </w:t>
            </w:r>
          </w:p>
          <w:p w14:paraId="259088B6" w14:textId="77777777" w:rsidR="00910C05" w:rsidRPr="00910C05" w:rsidRDefault="00910C05" w:rsidP="00910C05">
            <w:pPr>
              <w:jc w:val="both"/>
              <w:rPr>
                <w:rFonts w:eastAsia="Calibri" w:cs="Calibri"/>
                <w:lang w:val="en-US"/>
              </w:rPr>
            </w:pPr>
            <w:r w:rsidRPr="00910C05">
              <w:rPr>
                <w:rFonts w:eastAsia="Calibri" w:cs="Calibri"/>
                <w:lang w:val="en-US"/>
              </w:rPr>
              <w:t xml:space="preserve">Research at the department of </w:t>
            </w:r>
            <w:r w:rsidRPr="00910C05">
              <w:rPr>
                <w:rFonts w:eastAsia="Calibri" w:cs="Calibri"/>
                <w:b/>
                <w:bCs/>
                <w:lang w:val="en-US"/>
              </w:rPr>
              <w:t>Energy</w:t>
            </w:r>
            <w:r w:rsidRPr="00910C05">
              <w:rPr>
                <w:rFonts w:eastAsia="Calibri" w:cs="Calibri"/>
                <w:lang w:val="en-US"/>
              </w:rPr>
              <w:t xml:space="preserve">  </w:t>
            </w:r>
            <w:r w:rsidRPr="00910C05">
              <w:rPr>
                <w:rFonts w:eastAsia="Calibri" w:cs="Calibri"/>
                <w:b/>
                <w:lang w:val="en-US"/>
              </w:rPr>
              <w:t xml:space="preserve">Technology </w:t>
            </w:r>
            <w:r w:rsidRPr="00910C05">
              <w:rPr>
                <w:rFonts w:eastAsia="Calibri" w:cs="Calibri"/>
                <w:lang w:val="en-US"/>
              </w:rPr>
              <w:t xml:space="preserve">covers a wide range of societal impact, reflecting the interactions with industry, policy makers, and the society as a whole. The Department of Energy is making a coordinated effort on enhancing the </w:t>
            </w:r>
            <w:r w:rsidRPr="00910C05">
              <w:rPr>
                <w:rFonts w:eastAsia="Calibri" w:cs="Calibri"/>
                <w:i/>
                <w:iCs/>
                <w:lang w:val="en-US"/>
              </w:rPr>
              <w:t>creation</w:t>
            </w:r>
            <w:r w:rsidRPr="00910C05">
              <w:rPr>
                <w:rFonts w:eastAsia="Calibri" w:cs="Calibri"/>
                <w:lang w:val="en-US"/>
              </w:rPr>
              <w:t xml:space="preserve">, </w:t>
            </w:r>
            <w:r w:rsidRPr="00910C05">
              <w:rPr>
                <w:rFonts w:eastAsia="Calibri" w:cs="Calibri"/>
                <w:i/>
                <w:iCs/>
                <w:lang w:val="en-US"/>
              </w:rPr>
              <w:t>capturing</w:t>
            </w:r>
            <w:r w:rsidRPr="00910C05">
              <w:rPr>
                <w:rFonts w:eastAsia="Calibri" w:cs="Calibri"/>
                <w:lang w:val="en-US"/>
              </w:rPr>
              <w:t xml:space="preserve">, and </w:t>
            </w:r>
            <w:r w:rsidRPr="00910C05">
              <w:rPr>
                <w:rFonts w:eastAsia="Calibri" w:cs="Calibri"/>
                <w:i/>
                <w:iCs/>
                <w:lang w:val="en-US"/>
              </w:rPr>
              <w:t>communicating</w:t>
            </w:r>
            <w:r w:rsidRPr="00910C05">
              <w:rPr>
                <w:rFonts w:eastAsia="Calibri" w:cs="Calibri"/>
                <w:lang w:val="en-US"/>
              </w:rPr>
              <w:t xml:space="preserve"> the societal impact of all our research activities (KTH impact 3C). </w:t>
            </w:r>
          </w:p>
          <w:p w14:paraId="34D97633" w14:textId="77777777" w:rsidR="00910C05" w:rsidRPr="00910C05" w:rsidRDefault="00910C05" w:rsidP="00910C05">
            <w:pPr>
              <w:jc w:val="both"/>
            </w:pPr>
            <w:r w:rsidRPr="00910C05">
              <w:rPr>
                <w:rFonts w:eastAsia="Calibri" w:cs="Calibri"/>
                <w:lang w:val="en-US"/>
              </w:rPr>
              <w:lastRenderedPageBreak/>
              <w:t xml:space="preserve"> To </w:t>
            </w:r>
            <w:r w:rsidRPr="00910C05">
              <w:rPr>
                <w:rFonts w:eastAsia="Calibri" w:cs="Calibri"/>
                <w:b/>
                <w:bCs/>
                <w:lang w:val="en-US"/>
              </w:rPr>
              <w:t>systematize</w:t>
            </w:r>
            <w:r w:rsidRPr="00910C05">
              <w:rPr>
                <w:rFonts w:eastAsia="Calibri" w:cs="Calibri"/>
                <w:lang w:val="en-US"/>
              </w:rPr>
              <w:t xml:space="preserve"> higher impact and engagement with society, impact case collection will be done in a systematic way and impact cases will be published at regular basis in the department webpage and other communication channels. A dedicated outreach manager at the school level, supporting researcher in communicating their scientific work and reaching the right channels, should be considered for the systematization. Furthermore, impact beyond academia will be an important part of “Development conversation” between the staffs and the management. In other words, the management considers “impact beyond academia” as an important criterion for promotion of the staffs. Impact beyond academia can be the joint-publications or collaboration with other universities/research institutes and relevant industries, publishing impact stories, and doing any research/educational/innovation activity beyond the regular tasks within academia, including spin-offs, entrepreneurial and policy related activities. As a way for that to happen, scientific outputs from EGI, when possible, should highlight societal implications. </w:t>
            </w:r>
          </w:p>
          <w:p w14:paraId="15985254" w14:textId="77777777" w:rsidR="00910C05" w:rsidRPr="00910C05" w:rsidRDefault="00910C05" w:rsidP="00910C05">
            <w:pPr>
              <w:jc w:val="both"/>
            </w:pPr>
            <w:r w:rsidRPr="00910C05">
              <w:rPr>
                <w:rFonts w:eastAsia="Calibri" w:cs="Calibri"/>
                <w:szCs w:val="24"/>
                <w:lang w:val="en-US"/>
              </w:rPr>
              <w:t xml:space="preserve"> Moreover, impact and high engagement with society will remain as one of the important criteria in hiring process, particularly for new faculties at the department. Impact will be a part of </w:t>
            </w:r>
            <w:r w:rsidRPr="00910C05">
              <w:rPr>
                <w:rFonts w:eastAsia="Calibri" w:cs="Calibri"/>
                <w:b/>
                <w:bCs/>
                <w:szCs w:val="24"/>
                <w:lang w:val="en-US"/>
              </w:rPr>
              <w:t>education</w:t>
            </w:r>
            <w:r w:rsidRPr="00910C05">
              <w:rPr>
                <w:rFonts w:eastAsia="Calibri" w:cs="Calibri"/>
                <w:szCs w:val="24"/>
                <w:lang w:val="en-US"/>
              </w:rPr>
              <w:t xml:space="preserve"> for the existing researchers including the faculties, postdocs, and PhD students. Internal seminars at the department level and workshops led by external experts on societal impact of research will be a part of the educational package for all the staffs at the department.  </w:t>
            </w:r>
          </w:p>
          <w:p w14:paraId="0F9B2527" w14:textId="77777777" w:rsidR="00910C05" w:rsidRPr="00910C05" w:rsidRDefault="00910C05" w:rsidP="00910C05">
            <w:pPr>
              <w:jc w:val="both"/>
            </w:pPr>
            <w:r w:rsidRPr="00910C05">
              <w:rPr>
                <w:rFonts w:eastAsia="Calibri" w:cs="Calibri"/>
                <w:lang w:val="en-US"/>
              </w:rPr>
              <w:t xml:space="preserve"> Digitalization will play a pivotal role in our research from both content and organizational perspectives. From the research content perspective, the existing faculties are highly </w:t>
            </w:r>
            <w:r w:rsidRPr="00910C05">
              <w:rPr>
                <w:rFonts w:eastAsia="Calibri" w:cs="Calibri"/>
                <w:b/>
                <w:bCs/>
                <w:lang w:val="en-US"/>
              </w:rPr>
              <w:t>encouraged</w:t>
            </w:r>
            <w:r w:rsidRPr="00910C05">
              <w:rPr>
                <w:rFonts w:eastAsia="Calibri" w:cs="Calibri"/>
                <w:lang w:val="en-US"/>
              </w:rPr>
              <w:t xml:space="preserve"> to get involved and lead research projects within the theme of “digitalization and energy”. Evidently, digitalization is not an aim but a tool to be applied in the energy sector, beside other sectors, in order to move us towards our ultimate goals. Those include securing the access to affordable and sustainable energy for everybody, empowering citizens, and fostering prosperity of global citizens by increasing the quality of life and decreasing the environmental impact. The high number of research proposals and project that are recently submitted and/or funded within “digitalization and energy” subject is an evidence of this newly established trend in the department.  This trend will hopefully be continued and enhanced in the future. </w:t>
            </w:r>
          </w:p>
          <w:p w14:paraId="4DED0B54" w14:textId="77777777" w:rsidR="00910C05" w:rsidRPr="00910C05" w:rsidRDefault="00910C05" w:rsidP="00910C05">
            <w:pPr>
              <w:jc w:val="both"/>
            </w:pPr>
            <w:r w:rsidRPr="00910C05">
              <w:rPr>
                <w:rFonts w:eastAsia="Calibri" w:cs="Calibri"/>
                <w:lang w:val="en-US"/>
              </w:rPr>
              <w:t xml:space="preserve">Moving towards interdisciplinary and ultimately trans-disciplinary research has gained ever-growing importance in achieving higher impact in any research field. Consequently, the researchers at the department of energy are highly </w:t>
            </w:r>
            <w:r w:rsidRPr="00910C05">
              <w:rPr>
                <w:rFonts w:eastAsia="Calibri" w:cs="Calibri"/>
                <w:b/>
                <w:bCs/>
                <w:lang w:val="en-US"/>
              </w:rPr>
              <w:t xml:space="preserve">encouraged </w:t>
            </w:r>
            <w:r w:rsidRPr="00910C05">
              <w:rPr>
                <w:rFonts w:eastAsia="Calibri" w:cs="Calibri"/>
                <w:lang w:val="en-US"/>
              </w:rPr>
              <w:t>in leading and getting involved in</w:t>
            </w:r>
            <w:r w:rsidRPr="00910C05">
              <w:rPr>
                <w:rFonts w:eastAsia="Calibri" w:cs="Calibri"/>
                <w:b/>
                <w:bCs/>
                <w:lang w:val="en-US"/>
              </w:rPr>
              <w:t xml:space="preserve"> </w:t>
            </w:r>
            <w:r w:rsidRPr="00910C05">
              <w:rPr>
                <w:rFonts w:eastAsia="Calibri" w:cs="Calibri"/>
                <w:lang w:val="en-US"/>
              </w:rPr>
              <w:t>more interdisciplinary research areas and projects.</w:t>
            </w:r>
            <w:r w:rsidRPr="00910C05">
              <w:rPr>
                <w:rFonts w:eastAsia="Calibri" w:cs="Calibri"/>
                <w:b/>
                <w:bCs/>
                <w:lang w:val="en-US"/>
              </w:rPr>
              <w:t xml:space="preserve"> </w:t>
            </w:r>
            <w:r w:rsidRPr="00910C05">
              <w:rPr>
                <w:rFonts w:eastAsia="Calibri" w:cs="Calibri"/>
                <w:lang w:val="en-US"/>
              </w:rPr>
              <w:t xml:space="preserve">The department has shown a noteworthy trend of combining other disciplines such as resource management, economics,  and sustainable development with engineering skills which can be detected in a considerable number of  projects and high impact scientific publications ([1–?]). Furthermore, a few newly-funded projects has gone beyond the traditional analyses by combining human behavior and behavioral economics with energy. The department plans to enhance this trend and move towards more inter- and trans-disciplinary research topics, particularly on energy and social science that can consequently lead to higher societal impact. </w:t>
            </w:r>
          </w:p>
          <w:p w14:paraId="19D87E45" w14:textId="77777777" w:rsidR="00910C05" w:rsidRPr="00910C05" w:rsidRDefault="00910C05" w:rsidP="00910C05">
            <w:pPr>
              <w:jc w:val="both"/>
            </w:pPr>
            <w:r w:rsidRPr="00910C05">
              <w:rPr>
                <w:rFonts w:eastAsia="Calibri" w:cs="Calibri"/>
                <w:lang w:val="en-US"/>
              </w:rPr>
              <w:lastRenderedPageBreak/>
              <w:t xml:space="preserve">Finally, all of the above should have a set </w:t>
            </w:r>
            <w:r w:rsidRPr="00910C05">
              <w:rPr>
                <w:rFonts w:eastAsia="Calibri" w:cs="Calibri"/>
                <w:b/>
                <w:bCs/>
                <w:lang w:val="en-US"/>
              </w:rPr>
              <w:t xml:space="preserve">monitoring system, </w:t>
            </w:r>
            <w:r w:rsidRPr="00910C05">
              <w:rPr>
                <w:rFonts w:eastAsia="Calibri" w:cs="Calibri"/>
                <w:lang w:val="en-US"/>
              </w:rPr>
              <w:t>to track impact on society. For that, a set of KPIs should be set.</w:t>
            </w:r>
          </w:p>
          <w:p w14:paraId="2170CDFF" w14:textId="77777777" w:rsidR="00910C05" w:rsidRPr="00910C05" w:rsidRDefault="00910C05" w:rsidP="00910C05">
            <w:pPr>
              <w:spacing w:after="0"/>
              <w:rPr>
                <w:rFonts w:cs="Calibri"/>
                <w:bCs/>
                <w:szCs w:val="24"/>
              </w:rPr>
            </w:pPr>
          </w:p>
        </w:tc>
      </w:tr>
    </w:tbl>
    <w:p w14:paraId="0AB9D8BB" w14:textId="77777777" w:rsidR="00910C05" w:rsidRPr="00910C05" w:rsidRDefault="00910C05" w:rsidP="00910C05">
      <w:pPr>
        <w:spacing w:after="0"/>
        <w:rPr>
          <w:rFonts w:cs="Calibri"/>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10C05" w:rsidRPr="00910C05" w14:paraId="4EDCC281" w14:textId="77777777" w:rsidTr="00D874A5">
        <w:tc>
          <w:tcPr>
            <w:tcW w:w="8789" w:type="dxa"/>
            <w:shd w:val="clear" w:color="auto" w:fill="D9D9D9" w:themeFill="background1" w:themeFillShade="D9"/>
          </w:tcPr>
          <w:p w14:paraId="16BC3F80" w14:textId="77777777" w:rsidR="00910C05" w:rsidRPr="00910C05" w:rsidRDefault="00910C05" w:rsidP="00910C05">
            <w:pPr>
              <w:spacing w:after="0"/>
              <w:rPr>
                <w:rFonts w:cs="Calibri"/>
                <w:b/>
                <w:bCs/>
                <w:szCs w:val="24"/>
              </w:rPr>
            </w:pPr>
            <w:r w:rsidRPr="00910C05">
              <w:rPr>
                <w:rFonts w:cs="Calibri"/>
                <w:b/>
                <w:szCs w:val="24"/>
              </w:rPr>
              <w:t>7. Other</w:t>
            </w:r>
          </w:p>
        </w:tc>
      </w:tr>
      <w:tr w:rsidR="00910C05" w:rsidRPr="00910C05" w14:paraId="0755F1A0" w14:textId="77777777" w:rsidTr="00D874A5">
        <w:tc>
          <w:tcPr>
            <w:tcW w:w="8789" w:type="dxa"/>
          </w:tcPr>
          <w:p w14:paraId="061EA0C4" w14:textId="77777777" w:rsidR="00910C05" w:rsidRPr="00910C05" w:rsidRDefault="00910C05" w:rsidP="00910C05">
            <w:pPr>
              <w:spacing w:after="120"/>
              <w:rPr>
                <w:rFonts w:cs="Calibri"/>
                <w:i/>
                <w:szCs w:val="24"/>
              </w:rPr>
            </w:pPr>
            <w:r w:rsidRPr="00910C05">
              <w:rPr>
                <w:rFonts w:cs="Calibri"/>
                <w:b/>
                <w:szCs w:val="24"/>
              </w:rPr>
              <w:t xml:space="preserve">a. </w:t>
            </w:r>
            <w:r w:rsidRPr="00910C05">
              <w:rPr>
                <w:rFonts w:eastAsia="Arial" w:cs="Calibri"/>
                <w:bCs/>
                <w:i/>
                <w:szCs w:val="24"/>
              </w:rPr>
              <w:t>Specifics that the d</w:t>
            </w:r>
            <w:r w:rsidRPr="00910C05">
              <w:rPr>
                <w:rFonts w:eastAsia="Arial" w:cstheme="majorBidi"/>
                <w:bCs/>
                <w:i/>
              </w:rPr>
              <w:t>epartment</w:t>
            </w:r>
            <w:r w:rsidRPr="00910C05">
              <w:rPr>
                <w:rFonts w:eastAsia="Arial" w:cs="Calibri"/>
                <w:bCs/>
                <w:i/>
                <w:szCs w:val="24"/>
              </w:rPr>
              <w:t xml:space="preserve"> wishes to mention and describe</w:t>
            </w:r>
            <w:r w:rsidRPr="00910C05">
              <w:rPr>
                <w:rFonts w:cs="Calibri"/>
                <w:i/>
                <w:szCs w:val="24"/>
              </w:rPr>
              <w:t xml:space="preserve"> </w:t>
            </w:r>
          </w:p>
          <w:p w14:paraId="600A20C5" w14:textId="77777777" w:rsidR="00910C05" w:rsidRPr="00910C05" w:rsidRDefault="00910C05" w:rsidP="00910C05">
            <w:pPr>
              <w:spacing w:after="0"/>
              <w:rPr>
                <w:rFonts w:cs="Calibri"/>
                <w:szCs w:val="24"/>
              </w:rPr>
            </w:pPr>
            <w:r w:rsidRPr="00910C05">
              <w:rPr>
                <w:rFonts w:cs="Calibri"/>
                <w:szCs w:val="24"/>
              </w:rPr>
              <w:t>If the department wishes to mention anything that has not been covered above, it can be added in this section.</w:t>
            </w:r>
          </w:p>
          <w:p w14:paraId="7F980DCA" w14:textId="77777777" w:rsidR="00910C05" w:rsidRPr="00910C05" w:rsidRDefault="00910C05" w:rsidP="00910C05">
            <w:pPr>
              <w:spacing w:after="0"/>
              <w:rPr>
                <w:rFonts w:cs="Calibri"/>
                <w:szCs w:val="24"/>
              </w:rPr>
            </w:pPr>
          </w:p>
        </w:tc>
      </w:tr>
    </w:tbl>
    <w:p w14:paraId="072348B1" w14:textId="77777777" w:rsidR="00910C05" w:rsidRPr="00910C05" w:rsidRDefault="00910C05" w:rsidP="00910C05">
      <w:pPr>
        <w:spacing w:after="0"/>
        <w:rPr>
          <w:rFonts w:cs="Calibri"/>
          <w:szCs w:val="24"/>
        </w:rPr>
      </w:pPr>
    </w:p>
    <w:p w14:paraId="6FA85F4D" w14:textId="77777777" w:rsidR="00910C05" w:rsidRPr="00910C05" w:rsidRDefault="00910C05" w:rsidP="00910C05">
      <w:pPr>
        <w:spacing w:after="120"/>
        <w:rPr>
          <w:rFonts w:eastAsiaTheme="majorEastAsia" w:cs="Calibri"/>
          <w:b/>
          <w:bCs/>
        </w:rPr>
      </w:pPr>
    </w:p>
    <w:p w14:paraId="295D053C" w14:textId="77777777" w:rsidR="00910C05" w:rsidRPr="00910C05" w:rsidRDefault="00910C05" w:rsidP="003A09D8">
      <w:pPr>
        <w:numPr>
          <w:ilvl w:val="0"/>
          <w:numId w:val="12"/>
        </w:numPr>
        <w:spacing w:after="120"/>
        <w:ind w:left="357" w:hanging="357"/>
        <w:contextualSpacing/>
        <w:rPr>
          <w:rFonts w:eastAsiaTheme="majorEastAsia" w:cs="Calibri"/>
          <w:b/>
          <w:bCs/>
          <w:szCs w:val="24"/>
          <w:lang w:val="sv-SE" w:eastAsia="sv-SE"/>
        </w:rPr>
      </w:pPr>
      <w:r w:rsidRPr="00910C05">
        <w:rPr>
          <w:rFonts w:eastAsiaTheme="majorEastAsia" w:cs="Calibri"/>
          <w:b/>
          <w:bCs/>
          <w:szCs w:val="24"/>
          <w:lang w:eastAsia="sv-SE"/>
        </w:rPr>
        <w:t>POSSIBLE ATTACHMENTS</w:t>
      </w:r>
    </w:p>
    <w:p w14:paraId="709E96CD" w14:textId="77777777" w:rsidR="00910C05" w:rsidRPr="00910C05" w:rsidRDefault="00910C05" w:rsidP="00910C05">
      <w:pPr>
        <w:spacing w:after="0"/>
        <w:rPr>
          <w:rFonts w:eastAsiaTheme="majorEastAsia" w:cs="Calibri"/>
          <w:szCs w:val="24"/>
        </w:rPr>
      </w:pPr>
      <w:r w:rsidRPr="00910C05">
        <w:rPr>
          <w:rFonts w:eastAsiaTheme="majorEastAsia" w:cs="Calibri"/>
          <w:szCs w:val="24"/>
        </w:rPr>
        <w:t>Relevant material/URL-links formulated succinctly that support the self-evaluation. No limitation in length, but do not expect panel members to read extensive added material.</w:t>
      </w:r>
    </w:p>
    <w:p w14:paraId="0F0C25AB" w14:textId="77777777" w:rsidR="00910C05" w:rsidRPr="00910C05" w:rsidRDefault="00910C05" w:rsidP="00910C05">
      <w:pPr>
        <w:spacing w:after="0"/>
        <w:rPr>
          <w:rFonts w:eastAsiaTheme="majorEastAsia" w:cs="Calibri"/>
          <w:b/>
          <w:bCs/>
          <w:szCs w:val="24"/>
        </w:rPr>
      </w:pPr>
    </w:p>
    <w:p w14:paraId="600DD9E0" w14:textId="77777777" w:rsidR="00910C05" w:rsidRPr="00910C05" w:rsidRDefault="00910C05" w:rsidP="00910C05">
      <w:pPr>
        <w:rPr>
          <w:rFonts w:eastAsiaTheme="majorEastAsia" w:cs="Calibri"/>
          <w:szCs w:val="24"/>
        </w:rPr>
      </w:pPr>
    </w:p>
    <w:p w14:paraId="0E6C4E87" w14:textId="77777777" w:rsidR="00910C05" w:rsidRPr="00910C05" w:rsidRDefault="00910C05" w:rsidP="00910C05">
      <w:pPr>
        <w:rPr>
          <w:rFonts w:eastAsiaTheme="majorEastAsia" w:cs="Calibri"/>
          <w:szCs w:val="24"/>
        </w:rPr>
      </w:pPr>
    </w:p>
    <w:p w14:paraId="6C0D56F3" w14:textId="77777777" w:rsidR="00910C05" w:rsidRPr="00910C05" w:rsidRDefault="00910C05" w:rsidP="00910C05">
      <w:pPr>
        <w:rPr>
          <w:rFonts w:eastAsiaTheme="majorEastAsia" w:cs="Calibri"/>
          <w:b/>
          <w:bCs/>
          <w:szCs w:val="24"/>
        </w:rPr>
      </w:pPr>
    </w:p>
    <w:p w14:paraId="56CD942C" w14:textId="77777777" w:rsidR="00910C05" w:rsidRPr="00910C05" w:rsidRDefault="00910C05" w:rsidP="00910C05">
      <w:pPr>
        <w:tabs>
          <w:tab w:val="left" w:pos="2179"/>
        </w:tabs>
        <w:rPr>
          <w:rFonts w:eastAsiaTheme="majorEastAsia" w:cs="Calibri"/>
          <w:szCs w:val="24"/>
        </w:rPr>
      </w:pPr>
      <w:r w:rsidRPr="00910C05">
        <w:rPr>
          <w:rFonts w:eastAsiaTheme="majorEastAsia" w:cs="Calibri"/>
          <w:szCs w:val="24"/>
        </w:rPr>
        <w:tab/>
      </w:r>
    </w:p>
    <w:p w14:paraId="322D56CE" w14:textId="2334FEE2" w:rsidR="00910C05" w:rsidRDefault="00910C05">
      <w:pPr>
        <w:spacing w:after="0"/>
        <w:rPr>
          <w:rFonts w:eastAsiaTheme="majorEastAsia" w:cs="Calibri"/>
          <w:b/>
          <w:bCs/>
        </w:rPr>
      </w:pPr>
      <w:r>
        <w:rPr>
          <w:rFonts w:eastAsiaTheme="majorEastAsia" w:cs="Calibri"/>
          <w:b/>
          <w:bCs/>
        </w:rPr>
        <w:br w:type="page"/>
      </w:r>
    </w:p>
    <w:p w14:paraId="02F6E829" w14:textId="0C9A88A2" w:rsidR="00D3501C" w:rsidRPr="00B24178" w:rsidRDefault="00B24178" w:rsidP="00B24178">
      <w:pPr>
        <w:jc w:val="both"/>
        <w:rPr>
          <w:rFonts w:eastAsiaTheme="majorEastAsia" w:cs="Calibri"/>
          <w:b/>
          <w:bCs/>
          <w:i/>
          <w:sz w:val="28"/>
          <w:szCs w:val="24"/>
        </w:rPr>
      </w:pPr>
      <w:bookmarkStart w:id="3" w:name="EE_selfevaluation"/>
      <w:bookmarkStart w:id="4" w:name="_GoBack"/>
      <w:bookmarkEnd w:id="4"/>
      <w:r w:rsidRPr="00B24178">
        <w:rPr>
          <w:rFonts w:eastAsiaTheme="majorEastAsia" w:cs="Calibri"/>
          <w:b/>
          <w:bCs/>
          <w:i/>
          <w:sz w:val="28"/>
          <w:szCs w:val="24"/>
        </w:rPr>
        <w:lastRenderedPageBreak/>
        <w:t xml:space="preserve">DEPARTMENT OF ELECTRICAL </w:t>
      </w:r>
      <w:bookmarkEnd w:id="3"/>
      <w:r w:rsidRPr="00B24178">
        <w:rPr>
          <w:rFonts w:eastAsiaTheme="majorEastAsia" w:cs="Calibri"/>
          <w:b/>
          <w:bCs/>
          <w:i/>
          <w:sz w:val="28"/>
          <w:szCs w:val="24"/>
        </w:rPr>
        <w:t xml:space="preserve">ENGINEERING </w:t>
      </w:r>
    </w:p>
    <w:p w14:paraId="39EECC08" w14:textId="0BC31AB6" w:rsidR="000D6B05" w:rsidRPr="00CC1179" w:rsidRDefault="000D6B05" w:rsidP="000D6B05">
      <w:pPr>
        <w:spacing w:after="0"/>
        <w:rPr>
          <w:rFonts w:eastAsiaTheme="majorEastAsia" w:cs="Calibri"/>
          <w:b/>
          <w:bCs/>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944"/>
      </w:tblGrid>
      <w:tr w:rsidR="004A185D" w:rsidRPr="00CC1179" w14:paraId="0102BEDC" w14:textId="77777777" w:rsidTr="50F906C4">
        <w:tc>
          <w:tcPr>
            <w:tcW w:w="8789"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4526EA99" w14:textId="379A57E4" w:rsidR="004A185D" w:rsidRPr="00CC1179" w:rsidRDefault="004A185D" w:rsidP="00910D79">
            <w:pPr>
              <w:spacing w:after="0"/>
              <w:rPr>
                <w:rStyle w:val="Strong"/>
                <w:rFonts w:cs="Calibri"/>
                <w:bCs w:val="0"/>
                <w:szCs w:val="24"/>
              </w:rPr>
            </w:pPr>
            <w:r w:rsidRPr="00CC1179">
              <w:rPr>
                <w:rFonts w:cs="Calibri"/>
                <w:b/>
                <w:szCs w:val="24"/>
              </w:rPr>
              <w:t>1. Overall analysis and conclusion; strengths and development areas</w:t>
            </w:r>
          </w:p>
        </w:tc>
      </w:tr>
      <w:tr w:rsidR="004A185D" w:rsidRPr="00CC1179" w14:paraId="3A267C7B" w14:textId="77777777" w:rsidTr="50F906C4">
        <w:tc>
          <w:tcPr>
            <w:tcW w:w="8789" w:type="dxa"/>
            <w:tcBorders>
              <w:top w:val="single" w:sz="8" w:space="0" w:color="auto"/>
              <w:left w:val="single" w:sz="8" w:space="0" w:color="auto"/>
              <w:bottom w:val="single" w:sz="8" w:space="0" w:color="auto"/>
              <w:right w:val="single" w:sz="8" w:space="0" w:color="auto"/>
            </w:tcBorders>
            <w:shd w:val="clear" w:color="auto" w:fill="auto"/>
          </w:tcPr>
          <w:p w14:paraId="6160B824" w14:textId="32A2F9AE" w:rsidR="004A185D" w:rsidRDefault="004A185D" w:rsidP="00CC1179">
            <w:pPr>
              <w:spacing w:after="120"/>
              <w:rPr>
                <w:rFonts w:cs="Calibri"/>
                <w:bCs/>
                <w:i/>
                <w:iCs/>
                <w:szCs w:val="24"/>
                <w:lang w:val="en-US"/>
              </w:rPr>
            </w:pPr>
            <w:r w:rsidRPr="00F92AF7">
              <w:rPr>
                <w:rFonts w:cs="Calibri"/>
                <w:b/>
                <w:szCs w:val="24"/>
                <w:lang w:val="en-US"/>
              </w:rPr>
              <w:t xml:space="preserve">a. </w:t>
            </w:r>
            <w:r w:rsidRPr="00F92AF7">
              <w:rPr>
                <w:rFonts w:cs="Calibri"/>
                <w:bCs/>
                <w:i/>
                <w:iCs/>
                <w:szCs w:val="24"/>
                <w:lang w:val="en-US"/>
              </w:rPr>
              <w:t>Limited SWOT-analysis</w:t>
            </w:r>
          </w:p>
          <w:p w14:paraId="32779294" w14:textId="7E58AE18" w:rsidR="60497C50" w:rsidRDefault="492E8A79" w:rsidP="60497C50">
            <w:pPr>
              <w:spacing w:after="120"/>
              <w:rPr>
                <w:rFonts w:cs="Calibri"/>
                <w:lang w:val="en-US"/>
              </w:rPr>
            </w:pPr>
            <w:r w:rsidRPr="492E8A79">
              <w:rPr>
                <w:rFonts w:cs="Calibri"/>
                <w:b/>
                <w:bCs/>
                <w:lang w:val="en-US"/>
              </w:rPr>
              <w:t>Strengths:</w:t>
            </w:r>
            <w:r w:rsidRPr="492E8A79">
              <w:rPr>
                <w:rFonts w:cs="Calibri"/>
                <w:lang w:val="en-US"/>
              </w:rPr>
              <w:t xml:space="preserve"> The department of Electrical Engineering represents the subject that has the highest QS-ranking – ranked 17 - among any subject at KTH. This is a consequence of many top ranked researchers with a world leading research, many highly cited publications and high h-index. The name ‘Electrical Engineering’ is a strength with a high reputation.  The department is </w:t>
            </w:r>
            <w:r w:rsidRPr="492E8A79">
              <w:rPr>
                <w:rFonts w:eastAsia="Calibri" w:cs="Calibri"/>
                <w:color w:val="333333"/>
                <w:szCs w:val="24"/>
                <w:lang w:val="en-US"/>
              </w:rPr>
              <w:t>of optimal size where the prefect has a possibility to have a direct contact with and good overview of all his faculty members.</w:t>
            </w:r>
          </w:p>
          <w:p w14:paraId="5040A563" w14:textId="20F2BF11" w:rsidR="000B5B7E" w:rsidRDefault="0B3BBCF7" w:rsidP="5D345B3A">
            <w:pPr>
              <w:spacing w:after="120"/>
              <w:rPr>
                <w:rFonts w:cs="Calibri"/>
                <w:lang w:val="en-US"/>
              </w:rPr>
            </w:pPr>
            <w:r w:rsidRPr="0B3BBCF7">
              <w:rPr>
                <w:rFonts w:cs="Calibri"/>
                <w:lang w:val="en-US"/>
              </w:rPr>
              <w:t xml:space="preserve">Research areas: </w:t>
            </w:r>
          </w:p>
          <w:p w14:paraId="3430924F" w14:textId="1F845BA3" w:rsidR="492E8A79" w:rsidRDefault="492E8A79" w:rsidP="492E8A79">
            <w:pPr>
              <w:spacing w:after="120"/>
              <w:rPr>
                <w:highlight w:val="yellow"/>
              </w:rPr>
            </w:pPr>
            <w:r w:rsidRPr="492E8A79">
              <w:rPr>
                <w:rFonts w:cs="Calibri"/>
                <w:lang w:val="en-US"/>
              </w:rPr>
              <w:t>The research areas offer unique combinations of fundamental research and applied research in emerging fields that has societal impact both in the short and in the long time perspective, for example, advanced electronic solutions</w:t>
            </w:r>
            <w:r w:rsidR="000473B0" w:rsidRPr="492E8A79">
              <w:rPr>
                <w:rFonts w:cs="Calibri"/>
                <w:lang w:val="en-US"/>
              </w:rPr>
              <w:t>, integration</w:t>
            </w:r>
            <w:r w:rsidRPr="492E8A79">
              <w:rPr>
                <w:rFonts w:cs="Calibri"/>
                <w:lang w:val="en-US"/>
              </w:rPr>
              <w:t xml:space="preserve"> of renewable electric generation into the grid, smart electric grids, electrification of road transports, antennas for 5G and 6G communication, power storage and power grid reliability. The research covers the full spectra of electrical engineering and is commonly of a multidisciplinary nature, which becomes a strength when it comes to quick adaptation to changes and new challenges in the field. The academic skillset is also broad – spanning from highly theoretical to highly experimental, and from small scale (nm, pA) to large scale applications (fusion, space, power grid applications in kA, kV, GW).  The faculty c</w:t>
            </w:r>
            <w:r>
              <w:t>overs the whole design chain of embedded systems from custom design of high-performance computing hardware to synthesis of reliable software. Hardware security aspects are addressed in a timely and proactive way.</w:t>
            </w:r>
          </w:p>
          <w:p w14:paraId="2D8FBB06" w14:textId="2B8969EC" w:rsidR="00F22317" w:rsidRPr="00ED7805" w:rsidRDefault="492E8A79" w:rsidP="00ED7805">
            <w:pPr>
              <w:pStyle w:val="BodyText"/>
              <w:rPr>
                <w:color w:val="000000" w:themeColor="text1"/>
              </w:rPr>
            </w:pPr>
            <w:r w:rsidRPr="492E8A79">
              <w:rPr>
                <w:rFonts w:cs="Calibri"/>
                <w:color w:val="000000" w:themeColor="text1"/>
                <w:lang w:val="en-US"/>
              </w:rPr>
              <w:t xml:space="preserve">In general, it is a strength that the research involves a high number of PhD students that forms the backbone of much research activity.  There is also a strong involvement of MSc students and their thesis project in connection to the research projects. Many students perform the thesis in industry in relation to their R&amp;D activities. This foster a strong research skill among MSc students. </w:t>
            </w:r>
          </w:p>
          <w:p w14:paraId="6B8D4BA6" w14:textId="54D59D02" w:rsidR="00F22317" w:rsidRPr="00702596" w:rsidRDefault="492E8A79" w:rsidP="492E8A79">
            <w:pPr>
              <w:spacing w:after="120"/>
              <w:rPr>
                <w:rFonts w:cs="Calibri"/>
                <w:color w:val="000000" w:themeColor="text1"/>
                <w:lang w:val="en-US"/>
              </w:rPr>
            </w:pPr>
            <w:r w:rsidRPr="492E8A79">
              <w:rPr>
                <w:rFonts w:cs="Calibri"/>
                <w:color w:val="000000" w:themeColor="text1"/>
                <w:lang w:val="en-US"/>
              </w:rPr>
              <w:t>A further strength is the long duration of very active and successful engagement in national and international research programs and centers of high quality such as:</w:t>
            </w:r>
          </w:p>
          <w:p w14:paraId="7E06B383" w14:textId="23988F46" w:rsidR="00F22317" w:rsidRPr="00702596" w:rsidRDefault="492E8A79" w:rsidP="575DB160">
            <w:pPr>
              <w:spacing w:after="120"/>
              <w:rPr>
                <w:rFonts w:cs="Calibri"/>
                <w:color w:val="000000" w:themeColor="text1"/>
                <w:lang w:val="en-US"/>
              </w:rPr>
            </w:pPr>
            <w:r w:rsidRPr="492E8A79">
              <w:rPr>
                <w:rFonts w:cs="Calibri"/>
                <w:i/>
                <w:iCs/>
                <w:color w:val="000000" w:themeColor="text1"/>
                <w:lang w:val="en-US"/>
              </w:rPr>
              <w:t>SweGrids, STandUP , Elektra,</w:t>
            </w:r>
            <w:r w:rsidRPr="492E8A79">
              <w:rPr>
                <w:rFonts w:cs="Calibri"/>
                <w:color w:val="000000" w:themeColor="text1"/>
                <w:lang w:val="en-US"/>
              </w:rPr>
              <w:t xml:space="preserve"> CHASE, </w:t>
            </w:r>
            <w:r w:rsidRPr="492E8A79">
              <w:rPr>
                <w:i/>
                <w:iCs/>
                <w:color w:val="000000" w:themeColor="text1"/>
              </w:rPr>
              <w:t xml:space="preserve">EUROfusion Work Programme, ITER organization, </w:t>
            </w:r>
            <w:r w:rsidRPr="492E8A79">
              <w:rPr>
                <w:color w:val="000000" w:themeColor="text1"/>
              </w:rPr>
              <w:t>large international space missions by European, American and Japanese space agencies, as well as national space missions (MATS) and rockets</w:t>
            </w:r>
            <w:r w:rsidRPr="492E8A79">
              <w:rPr>
                <w:rFonts w:cs="Calibri"/>
                <w:color w:val="000000" w:themeColor="text1"/>
                <w:lang w:val="en-US"/>
              </w:rPr>
              <w:t xml:space="preserve">. </w:t>
            </w:r>
          </w:p>
          <w:p w14:paraId="62219CBA" w14:textId="5A9C658C" w:rsidR="00F22317" w:rsidRPr="00702596" w:rsidRDefault="492E8A79" w:rsidP="492E8A79">
            <w:pPr>
              <w:spacing w:after="120"/>
              <w:rPr>
                <w:rFonts w:cs="Calibri"/>
                <w:color w:val="000000" w:themeColor="text1"/>
                <w:lang w:val="en-US"/>
              </w:rPr>
            </w:pPr>
            <w:r w:rsidRPr="492E8A79">
              <w:rPr>
                <w:rFonts w:cs="Calibri"/>
                <w:color w:val="000000" w:themeColor="text1"/>
                <w:lang w:val="en-US"/>
              </w:rPr>
              <w:t xml:space="preserve">We have assumed international leadership in several areas such as fusion plasma physics research around </w:t>
            </w:r>
            <w:r w:rsidRPr="492E8A79">
              <w:rPr>
                <w:color w:val="000000" w:themeColor="text1"/>
              </w:rPr>
              <w:t xml:space="preserve">plasma wall interaction and integrated tokamak modelling, power electronics multilevel converters of importance for HVDC power transmission. </w:t>
            </w:r>
          </w:p>
          <w:p w14:paraId="48121A9B" w14:textId="36384EF9" w:rsidR="00F22317" w:rsidRPr="00702596" w:rsidRDefault="492E8A79" w:rsidP="00F22317">
            <w:pPr>
              <w:pStyle w:val="BodyText"/>
              <w:rPr>
                <w:color w:val="000000" w:themeColor="text1"/>
              </w:rPr>
            </w:pPr>
            <w:r w:rsidRPr="492E8A79">
              <w:rPr>
                <w:color w:val="000000" w:themeColor="text1"/>
              </w:rPr>
              <w:t xml:space="preserve">The department has a strong and long term established connection with Swedish industry. This includes large organizations such as ABB, Ellevio, Ericsson, General Electric, Saab, Swedish National Grid Company, Vattenfall, E.ON, Trafikverket (Swedish Transport Administration), Bombardier, Swedish Defence Material Administration (FMV), Swedish </w:t>
            </w:r>
            <w:r w:rsidRPr="492E8A79">
              <w:rPr>
                <w:color w:val="000000" w:themeColor="text1"/>
              </w:rPr>
              <w:lastRenderedPageBreak/>
              <w:t xml:space="preserve">Energy Agency. This is currently manifested by 2 adjunct professors, 9 affiliated faculty and 3 industrial PhD students. </w:t>
            </w:r>
          </w:p>
          <w:p w14:paraId="200BDCE7" w14:textId="79F24E61" w:rsidR="00F22317" w:rsidRPr="00DB1C56" w:rsidRDefault="492E8A79" w:rsidP="0B3BBCF7">
            <w:pPr>
              <w:pStyle w:val="BodyText"/>
              <w:rPr>
                <w:color w:val="000000" w:themeColor="text1"/>
                <w:highlight w:val="yellow"/>
              </w:rPr>
            </w:pPr>
            <w:r w:rsidRPr="492E8A79">
              <w:rPr>
                <w:color w:val="000000" w:themeColor="text1"/>
              </w:rPr>
              <w:t>The funding situation for our areas has been sufficiently good and the research areas are well connected with external funding sources: Vinnova, Swedish Energy Agency, Swedish Research Council, Swedish National Space Agency; and funding through European research projects such as iTesla, Spine, PROMOTioN, InnoEnergy (CiPower), EuroFusion, Cubesat SEAM, H2020 projects connected to the SiNano Institute</w:t>
            </w:r>
            <w:commentRangeStart w:id="5"/>
            <w:commentRangeEnd w:id="5"/>
          </w:p>
          <w:p w14:paraId="6E9CA460" w14:textId="3D33176F" w:rsidR="009A4C68" w:rsidRDefault="009A4C68" w:rsidP="001F0C3A">
            <w:pPr>
              <w:spacing w:after="120"/>
              <w:rPr>
                <w:rFonts w:cs="Calibri"/>
                <w:bCs/>
                <w:szCs w:val="24"/>
                <w:lang w:val="en-US"/>
              </w:rPr>
            </w:pPr>
            <w:r>
              <w:rPr>
                <w:rFonts w:cs="Calibri"/>
                <w:bCs/>
                <w:szCs w:val="24"/>
                <w:lang w:val="en-US"/>
              </w:rPr>
              <w:t>Infrastructure:</w:t>
            </w:r>
          </w:p>
          <w:p w14:paraId="6591320E" w14:textId="6785B08B" w:rsidR="00C45ECF" w:rsidRPr="00C45ECF" w:rsidRDefault="492E8A79" w:rsidP="001F0C3A">
            <w:pPr>
              <w:spacing w:after="120"/>
              <w:rPr>
                <w:color w:val="000000" w:themeColor="text1"/>
              </w:rPr>
            </w:pPr>
            <w:r w:rsidRPr="492E8A79">
              <w:rPr>
                <w:rFonts w:cs="Calibri"/>
                <w:lang w:val="en-US"/>
              </w:rPr>
              <w:t xml:space="preserve">The experimental research is supported by an excellent infrastructure such as clean-room facilities – the Electrum laboratory for manufacturing of nanoelectronic devices. For electric power applications there is a wide selection of lab resources spanning from power electronics, electric machines and drives to a high voltage lab (up to 400 kV). The experimental parts of electric power engineering and antenna research is focusing the lab resources as an official KTH Infrastructure – </w:t>
            </w:r>
            <w:r w:rsidRPr="492E8A79">
              <w:rPr>
                <w:rFonts w:cs="Calibri"/>
                <w:i/>
                <w:iCs/>
                <w:lang w:val="en-US"/>
              </w:rPr>
              <w:t>Sustainable Power Lab (SPL)</w:t>
            </w:r>
            <w:r w:rsidRPr="492E8A79">
              <w:rPr>
                <w:rFonts w:cs="Calibri"/>
                <w:lang w:val="en-US"/>
              </w:rPr>
              <w:t xml:space="preserve">, with the aim to improve the laboratory infrastructure and facilitate for researchers from around KTH, other research institutes and universities as well as industry to perform tests and experiments. The in-house experiment device EXTRAP T2R for fusion plasma experiments is an asset for both education and research. The device enables hands-on experience of fusion research for both undergraduate and PhD students. </w:t>
            </w:r>
            <w:r w:rsidRPr="492E8A79">
              <w:rPr>
                <w:rFonts w:cs="Calibri"/>
                <w:color w:val="000000" w:themeColor="text1"/>
                <w:lang w:val="en-US"/>
              </w:rPr>
              <w:t xml:space="preserve">There is a strong tradition </w:t>
            </w:r>
            <w:r w:rsidRPr="492E8A79">
              <w:rPr>
                <w:color w:val="000000" w:themeColor="text1"/>
              </w:rPr>
              <w:t>to deliver world class instrument hardware, to space physics experiments, e.g. NASA MMS, ESA/JAXA BepiColombo. There is also an established rocket program with Spider-1, Spider-2 and supporting REXUS programme that involves students.</w:t>
            </w:r>
          </w:p>
          <w:p w14:paraId="392F7CB5" w14:textId="1E1E492B" w:rsidR="00F22317" w:rsidRPr="00702596" w:rsidRDefault="00F22317" w:rsidP="001F0C3A">
            <w:pPr>
              <w:spacing w:after="120"/>
              <w:rPr>
                <w:rFonts w:cs="Calibri"/>
                <w:bCs/>
                <w:color w:val="000000" w:themeColor="text1"/>
                <w:szCs w:val="24"/>
                <w:lang w:val="en-US"/>
              </w:rPr>
            </w:pPr>
            <w:r>
              <w:rPr>
                <w:rFonts w:cs="Calibri"/>
                <w:bCs/>
                <w:color w:val="000000" w:themeColor="text1"/>
                <w:szCs w:val="24"/>
                <w:lang w:val="en-US"/>
              </w:rPr>
              <w:t xml:space="preserve">Theory development: </w:t>
            </w:r>
          </w:p>
          <w:p w14:paraId="503990B2" w14:textId="1AC48126" w:rsidR="00046CF6" w:rsidRPr="00C45ECF" w:rsidRDefault="492E8A79" w:rsidP="492E8A79">
            <w:pPr>
              <w:spacing w:after="120"/>
              <w:rPr>
                <w:color w:val="000000" w:themeColor="text1"/>
              </w:rPr>
            </w:pPr>
            <w:r w:rsidRPr="492E8A79">
              <w:rPr>
                <w:color w:val="000000" w:themeColor="text1"/>
                <w:lang w:val="en-US"/>
              </w:rPr>
              <w:t>Some research areas have a stronger focus on development</w:t>
            </w:r>
            <w:r w:rsidRPr="492E8A79">
              <w:rPr>
                <w:color w:val="000000" w:themeColor="text1"/>
              </w:rPr>
              <w:t xml:space="preserve"> of different theoretical formalisms, like in the areas of complex plasma physics, including the Klimontovich theory of plasma fluctuations, the integral equation theory of liquids, the free electron theory of metals, the Lifshitz theory of dispersion forces, thermoelectric magneto-hydrodynamics, perturbation theories of condensed matter</w:t>
            </w:r>
            <w:r w:rsidR="00910C05">
              <w:rPr>
                <w:color w:val="000000" w:themeColor="text1"/>
              </w:rPr>
              <w:t>,</w:t>
            </w:r>
            <w:r w:rsidRPr="492E8A79">
              <w:rPr>
                <w:color w:val="000000" w:themeColor="text1"/>
              </w:rPr>
              <w:t xml:space="preserve"> and plasma sheath theory. In addition, the group has developed unique numerical simulation tools such as MIGRAINe and MEMOS-U. In electromagnetic theory the research involves including physical bounds on antenna bandwidth performance, inverse scattering problems, antenna and meta-material design and manufacturing, and measurements and diagnostics of electromagnetic devices. </w:t>
            </w:r>
          </w:p>
          <w:p w14:paraId="73ADB886" w14:textId="1BB79EE6" w:rsidR="00046CF6" w:rsidRPr="00C45ECF" w:rsidRDefault="492E8A79" w:rsidP="001F0C3A">
            <w:pPr>
              <w:spacing w:after="120"/>
              <w:rPr>
                <w:color w:val="000000" w:themeColor="text1"/>
              </w:rPr>
            </w:pPr>
            <w:r w:rsidRPr="492E8A79">
              <w:rPr>
                <w:color w:val="000000" w:themeColor="text1"/>
              </w:rPr>
              <w:t xml:space="preserve"> </w:t>
            </w:r>
          </w:p>
          <w:p w14:paraId="4067B382" w14:textId="6CA4CEAC" w:rsidR="00702596" w:rsidRPr="001B2394" w:rsidRDefault="00702596" w:rsidP="00D81434">
            <w:pPr>
              <w:pStyle w:val="BodyText"/>
              <w:rPr>
                <w:b/>
                <w:color w:val="000000" w:themeColor="text1"/>
              </w:rPr>
            </w:pPr>
            <w:r w:rsidRPr="001B2394">
              <w:rPr>
                <w:b/>
                <w:color w:val="000000" w:themeColor="text1"/>
              </w:rPr>
              <w:t>Weakness</w:t>
            </w:r>
            <w:r w:rsidR="00910C05">
              <w:rPr>
                <w:b/>
                <w:color w:val="000000" w:themeColor="text1"/>
              </w:rPr>
              <w:t>es</w:t>
            </w:r>
            <w:r w:rsidRPr="001B2394">
              <w:rPr>
                <w:b/>
                <w:color w:val="000000" w:themeColor="text1"/>
              </w:rPr>
              <w:t xml:space="preserve">: </w:t>
            </w:r>
          </w:p>
          <w:p w14:paraId="34FC6882" w14:textId="6C5D9214" w:rsidR="00046CF6" w:rsidRDefault="00046CF6" w:rsidP="00702596">
            <w:pPr>
              <w:pStyle w:val="BodyText"/>
              <w:rPr>
                <w:color w:val="000000" w:themeColor="text1"/>
              </w:rPr>
            </w:pPr>
            <w:r>
              <w:rPr>
                <w:color w:val="000000" w:themeColor="text1"/>
              </w:rPr>
              <w:t xml:space="preserve">Funding: </w:t>
            </w:r>
          </w:p>
          <w:p w14:paraId="78328254" w14:textId="32FD1F88" w:rsidR="00046CF6" w:rsidRDefault="492E8A79" w:rsidP="000B5B7E">
            <w:r w:rsidRPr="492E8A79">
              <w:rPr>
                <w:color w:val="000000" w:themeColor="text1"/>
              </w:rPr>
              <w:t xml:space="preserve">A general weakness that can be identified irrespective of research area is the lack of funding for more high-risk projects. Most funding is related to specific, clearly described projects with well-defined expected outcomes. </w:t>
            </w:r>
            <w:r>
              <w:t xml:space="preserve">There is very limited amount of funding for starting up new projects with a high degree of originality. </w:t>
            </w:r>
          </w:p>
          <w:p w14:paraId="2310C73D" w14:textId="0F34A4EB" w:rsidR="00702596" w:rsidRDefault="492E8A79" w:rsidP="00702596">
            <w:pPr>
              <w:pStyle w:val="BodyText"/>
              <w:rPr>
                <w:color w:val="000000" w:themeColor="text1"/>
              </w:rPr>
            </w:pPr>
            <w:r w:rsidRPr="492E8A79">
              <w:rPr>
                <w:color w:val="000000" w:themeColor="text1"/>
              </w:rPr>
              <w:lastRenderedPageBreak/>
              <w:t xml:space="preserve">Some areas are sensitive to few sources for funding: some are strong on funding from science council, and others are stronger on external funding, for example from industry collaborations, but as a department in total, funding is received from all possible national and European sources. Some areas can do more to get EU-projects, and there will be a focus area in the next six years to strengthen the partnership in EU-projects. </w:t>
            </w:r>
          </w:p>
          <w:p w14:paraId="551F58D3" w14:textId="06F7F29A" w:rsidR="000B5B7E" w:rsidRPr="001B2394" w:rsidRDefault="492E8A79" w:rsidP="00702596">
            <w:pPr>
              <w:pStyle w:val="BodyText"/>
              <w:rPr>
                <w:color w:val="000000" w:themeColor="text1"/>
              </w:rPr>
            </w:pPr>
            <w:r w:rsidRPr="492E8A79">
              <w:rPr>
                <w:color w:val="000000" w:themeColor="text1"/>
              </w:rPr>
              <w:t xml:space="preserve">People: </w:t>
            </w:r>
          </w:p>
          <w:p w14:paraId="731C4C8A" w14:textId="3A1D0C4D" w:rsidR="492E8A79" w:rsidRDefault="492E8A79">
            <w:r>
              <w:t>The administrative burden on the senior academic staff is already high, with a consequence that it is difficult to take further administrative responsibility, for example like co-ordinating large European projects.</w:t>
            </w:r>
          </w:p>
          <w:p w14:paraId="73E66461" w14:textId="5A65653F" w:rsidR="000B5B7E" w:rsidRDefault="492E8A79" w:rsidP="000B5B7E">
            <w:r>
              <w:t xml:space="preserve">The teacher and researcher mobility to industry is on a low level. Twenty years ago, the situation was that many professors came from a career in industry with new insights and well-connected networks. Today most professors are a result of “tenure track”. Several areas could benefit from well-planned sabbaticals in industry environment. But it has to be mentioned that the collaboration with industry is generally on a high level as mentioned in the strength section above. </w:t>
            </w:r>
          </w:p>
          <w:p w14:paraId="01FD245D" w14:textId="0C6B84C2" w:rsidR="000B5B7E" w:rsidRPr="00D00CE6" w:rsidRDefault="492E8A79" w:rsidP="0ACCDF65">
            <w:r>
              <w:t xml:space="preserve">All faculty is strongly involved in teaching, which is good, but the teaching is much dependent on single teachers with lack of redundancy in courses. This cause a weakness in difficulties for faculty to spend periods on sabbaticals abroad and also in taking on (short term) research projects with short notice. Formation of teaching teams would be an interesting alternative arrangement that can both increase the quality of the education as well as a better stress-relief for teachers if there is a redundancy in case of parental leave, sabbaticals or health reasons. </w:t>
            </w:r>
          </w:p>
          <w:p w14:paraId="479DE2DB" w14:textId="496A7F1B" w:rsidR="000B5B7E" w:rsidRPr="00702596" w:rsidRDefault="000B5B7E" w:rsidP="00702596">
            <w:pPr>
              <w:pStyle w:val="BodyText"/>
              <w:rPr>
                <w:color w:val="000000" w:themeColor="text1"/>
              </w:rPr>
            </w:pPr>
            <w:r>
              <w:rPr>
                <w:color w:val="000000" w:themeColor="text1"/>
              </w:rPr>
              <w:t xml:space="preserve">Collaboration: </w:t>
            </w:r>
          </w:p>
          <w:p w14:paraId="274E1FC4" w14:textId="0C88BE17" w:rsidR="00702596" w:rsidRPr="00702596" w:rsidRDefault="00702596" w:rsidP="00702596">
            <w:pPr>
              <w:pStyle w:val="BodyText"/>
              <w:rPr>
                <w:color w:val="000000" w:themeColor="text1"/>
              </w:rPr>
            </w:pPr>
            <w:r w:rsidRPr="00702596">
              <w:rPr>
                <w:color w:val="000000" w:themeColor="text1"/>
              </w:rPr>
              <w:t>Weak links bet</w:t>
            </w:r>
            <w:r w:rsidRPr="001B2394">
              <w:rPr>
                <w:color w:val="000000" w:themeColor="text1"/>
              </w:rPr>
              <w:t>ween internal</w:t>
            </w:r>
            <w:r w:rsidR="00D00CE6">
              <w:rPr>
                <w:color w:val="000000" w:themeColor="text1"/>
              </w:rPr>
              <w:t xml:space="preserve"> research groups - the amount of internal collaborations is on a low level and</w:t>
            </w:r>
            <w:r w:rsidRPr="001B2394">
              <w:rPr>
                <w:color w:val="000000" w:themeColor="text1"/>
              </w:rPr>
              <w:t xml:space="preserve"> can be </w:t>
            </w:r>
            <w:r w:rsidR="001B2394" w:rsidRPr="001B2394">
              <w:rPr>
                <w:color w:val="000000" w:themeColor="text1"/>
              </w:rPr>
              <w:t>improved. This is perhaps a consequence of the strong focus</w:t>
            </w:r>
            <w:r w:rsidR="00046CF6">
              <w:rPr>
                <w:color w:val="000000" w:themeColor="text1"/>
              </w:rPr>
              <w:t xml:space="preserve"> on </w:t>
            </w:r>
            <w:r w:rsidR="000B5B7E">
              <w:rPr>
                <w:color w:val="000000" w:themeColor="text1"/>
              </w:rPr>
              <w:t xml:space="preserve">individual </w:t>
            </w:r>
            <w:r w:rsidR="00046CF6">
              <w:rPr>
                <w:color w:val="000000" w:themeColor="text1"/>
              </w:rPr>
              <w:t>merits rather than a joint focus on difficult research challenges.</w:t>
            </w:r>
          </w:p>
          <w:p w14:paraId="6CC5B642" w14:textId="023D8944" w:rsidR="001B2394" w:rsidRDefault="492E8A79" w:rsidP="001B2394">
            <w:r>
              <w:t xml:space="preserve">From a subject content view, there are opinions that EE is lacking signal theory/processing and control theory. These areas are established at KTH (IS), but has applications in many areas of EE. </w:t>
            </w:r>
          </w:p>
          <w:p w14:paraId="12D8485E" w14:textId="4905BB61" w:rsidR="006F4F06" w:rsidRDefault="006F4F06" w:rsidP="001B2394">
            <w:r>
              <w:t xml:space="preserve">Organisation: </w:t>
            </w:r>
          </w:p>
          <w:p w14:paraId="160A40E1" w14:textId="70AA7F0E" w:rsidR="001B2394" w:rsidRDefault="06831449" w:rsidP="3141DCD1">
            <w:pPr>
              <w:spacing w:line="259" w:lineRule="auto"/>
            </w:pPr>
            <w:r>
              <w:t xml:space="preserve">The divisions are located at two campuses. At main campus  four division are located in the same building (EPE, EME, FPP and SPP) while EES is located at Kista Campus, together with the important Electrum Lab Infrastructure. So far relatively few research activities the span across divisions. The recent reorganisations have caused some internal strain and it will take some time until the new organisation has found its best way to operate. </w:t>
            </w:r>
          </w:p>
          <w:p w14:paraId="764473FE" w14:textId="625C0F55" w:rsidR="000B5B7E" w:rsidRDefault="000B5B7E" w:rsidP="001B2394">
            <w:r>
              <w:t xml:space="preserve">Strategy: </w:t>
            </w:r>
          </w:p>
          <w:p w14:paraId="4B35040F" w14:textId="4A0537E4" w:rsidR="001B2394" w:rsidRDefault="492E8A79" w:rsidP="492E8A79">
            <w:r>
              <w:t xml:space="preserve">The research areas lack a clear and documented long-term strategy. </w:t>
            </w:r>
          </w:p>
          <w:p w14:paraId="5AEF2356" w14:textId="2495DEF9" w:rsidR="00702596" w:rsidRDefault="0B3BBCF7" w:rsidP="00702596">
            <w:pPr>
              <w:pStyle w:val="BodyText"/>
              <w:rPr>
                <w:b/>
                <w:color w:val="000000" w:themeColor="text1"/>
              </w:rPr>
            </w:pPr>
            <w:r w:rsidRPr="0B3BBCF7">
              <w:rPr>
                <w:b/>
                <w:bCs/>
                <w:color w:val="000000" w:themeColor="text1"/>
              </w:rPr>
              <w:lastRenderedPageBreak/>
              <w:t>Opportunities:</w:t>
            </w:r>
          </w:p>
          <w:p w14:paraId="22A554BF" w14:textId="4E392704" w:rsidR="00211A38" w:rsidRPr="00211A38" w:rsidRDefault="492E8A79" w:rsidP="00702596">
            <w:pPr>
              <w:pStyle w:val="BodyText"/>
              <w:rPr>
                <w:color w:val="000000" w:themeColor="text1"/>
                <w:lang w:val="en-US"/>
              </w:rPr>
            </w:pPr>
            <w:r w:rsidRPr="492E8A79">
              <w:rPr>
                <w:color w:val="000000" w:themeColor="text1"/>
                <w:lang w:val="en-US"/>
              </w:rPr>
              <w:t xml:space="preserve">A general trend in society during the last 100 years have been a further increased electrification of many fields. This trend continues with increasing electrification of society like in the health science sector (electronics) or in the transport sector through electric cars, trucks and buses. One main driver is the transition from a fossile based energy supply to a sustainable energy system where the electric power grid is the backbone in order to receive the renewable power from solar, wind and hydro power plants. </w:t>
            </w:r>
          </w:p>
          <w:p w14:paraId="6317765A" w14:textId="073B295C" w:rsidR="62CEFCF0" w:rsidRDefault="62CEFCF0" w:rsidP="62CEFCF0">
            <w:pPr>
              <w:pStyle w:val="BodyText"/>
              <w:rPr>
                <w:color w:val="000000" w:themeColor="text1"/>
                <w:lang w:val="en-US"/>
              </w:rPr>
            </w:pPr>
            <w:r w:rsidRPr="62CEFCF0">
              <w:rPr>
                <w:color w:val="000000" w:themeColor="text1"/>
              </w:rPr>
              <w:t>The power electronics industry (beyond ABB) in Sweden, is mostly small and fragmented. This has so far prevented KTH from collaborating and carrying out co-funded research with this industry. However, if ways can be found to work with small companies, for instance through the formation of consortia, these possibilities should improve.</w:t>
            </w:r>
          </w:p>
          <w:p w14:paraId="2C6D8064" w14:textId="1382B5D7" w:rsidR="00230D64" w:rsidRPr="00D3501C" w:rsidRDefault="0B3BBCF7" w:rsidP="0B3BBCF7">
            <w:pPr>
              <w:pStyle w:val="BodyText"/>
              <w:rPr>
                <w:b/>
                <w:bCs/>
                <w:color w:val="000000" w:themeColor="text1"/>
                <w:lang w:val="en-US"/>
              </w:rPr>
            </w:pPr>
            <w:r w:rsidRPr="0B3BBCF7">
              <w:rPr>
                <w:b/>
                <w:bCs/>
                <w:color w:val="000000" w:themeColor="text1"/>
              </w:rPr>
              <w:t>Threats</w:t>
            </w:r>
          </w:p>
          <w:p w14:paraId="16C4DEDF" w14:textId="7D127558" w:rsidR="62CEFCF0" w:rsidRDefault="492E8A79" w:rsidP="492E8A79">
            <w:pPr>
              <w:pStyle w:val="BodyText"/>
              <w:rPr>
                <w:color w:val="000000" w:themeColor="text1"/>
                <w:lang w:val="en-US"/>
              </w:rPr>
            </w:pPr>
            <w:r w:rsidRPr="492E8A79">
              <w:rPr>
                <w:color w:val="000000" w:themeColor="text1"/>
              </w:rPr>
              <w:t xml:space="preserve">A key enabler in transition to a sustainable energy system is electrification of industry, transportation and other sectors in society. As this realisation permeates society, the competition for R&amp;D funds traditionally “earmarked” for departments within Energy and Electrotechnology increases. Competition is in itself not a problem given the strength of the groups in the panel. Success in electrification of transportation is a critical for Swedish society at large to reduce the carbon footprint. It is also critical for Swedish industry considering the large proportion of automotive and transportation related industries in Sweden. A large proportion of government funds can be expected to be allocated to support this development. </w:t>
            </w:r>
          </w:p>
          <w:p w14:paraId="4AE3F030" w14:textId="1A7F2D82" w:rsidR="62CEFCF0" w:rsidRDefault="492E8A79" w:rsidP="492E8A79">
            <w:pPr>
              <w:pStyle w:val="BodyText"/>
              <w:rPr>
                <w:color w:val="000000" w:themeColor="text1"/>
                <w:lang w:val="en-US"/>
              </w:rPr>
            </w:pPr>
            <w:r w:rsidRPr="492E8A79">
              <w:rPr>
                <w:color w:val="000000" w:themeColor="text1"/>
              </w:rPr>
              <w:t xml:space="preserve">It is uncertain whether our traditional partners and benefactors in power </w:t>
            </w:r>
            <w:r w:rsidR="00D3501C" w:rsidRPr="492E8A79">
              <w:rPr>
                <w:color w:val="000000" w:themeColor="text1"/>
              </w:rPr>
              <w:t>electronics,</w:t>
            </w:r>
            <w:r w:rsidRPr="492E8A79">
              <w:rPr>
                <w:color w:val="000000" w:themeColor="text1"/>
                <w:lang w:val="en-US"/>
              </w:rPr>
              <w:t xml:space="preserve"> electric machines, and drives</w:t>
            </w:r>
            <w:r w:rsidRPr="492E8A79">
              <w:rPr>
                <w:color w:val="000000" w:themeColor="text1"/>
              </w:rPr>
              <w:t xml:space="preserve"> will stay committed to supporting research at KTH. </w:t>
            </w:r>
            <w:r w:rsidRPr="492E8A79">
              <w:rPr>
                <w:color w:val="000000" w:themeColor="text1"/>
                <w:lang w:val="en-US"/>
              </w:rPr>
              <w:t>In particular, the research in these fields has traditionally relied on co-funding of projects from one single industrial partner, ABB. Given the developments at ABB and their divestment of their power grids division it is uncertain whether we can expect this to continue.</w:t>
            </w:r>
          </w:p>
          <w:p w14:paraId="05DDE5F9" w14:textId="4E5D49DF" w:rsidR="492E8A79" w:rsidRDefault="50F906C4" w:rsidP="492E8A79">
            <w:pPr>
              <w:pStyle w:val="BodyText"/>
              <w:rPr>
                <w:color w:val="000000" w:themeColor="text1"/>
                <w:lang w:val="en-US"/>
              </w:rPr>
            </w:pPr>
            <w:r w:rsidRPr="50F906C4">
              <w:rPr>
                <w:color w:val="000000" w:themeColor="text1"/>
                <w:lang w:val="en-US"/>
              </w:rPr>
              <w:t xml:space="preserve">A threat is that we will not find any long-term strategic research programs that can replace the ones that has been so fruitful, I.e. for example STandUP and SweGrids. </w:t>
            </w:r>
          </w:p>
          <w:p w14:paraId="2027DB22" w14:textId="59052793" w:rsidR="492E8A79" w:rsidRDefault="492E8A79" w:rsidP="492E8A79">
            <w:pPr>
              <w:pStyle w:val="BodyText"/>
              <w:rPr>
                <w:color w:val="000000" w:themeColor="text1"/>
              </w:rPr>
            </w:pPr>
            <w:r w:rsidRPr="492E8A79">
              <w:rPr>
                <w:color w:val="000000" w:themeColor="text1"/>
              </w:rPr>
              <w:t>The inflow of Swedish MSc students and PhD students is very weak. This may be a problem in the long term when it comes to supplying Swedish society and industry with competence.</w:t>
            </w:r>
          </w:p>
          <w:p w14:paraId="317E118E" w14:textId="77777777" w:rsidR="004A185D" w:rsidRPr="00CC1179" w:rsidRDefault="004A185D" w:rsidP="00910D79">
            <w:pPr>
              <w:spacing w:after="0"/>
              <w:rPr>
                <w:rFonts w:cs="Calibri"/>
                <w:b/>
                <w:szCs w:val="24"/>
              </w:rPr>
            </w:pPr>
          </w:p>
          <w:p w14:paraId="20E3CBF5" w14:textId="64CCF176" w:rsidR="004A185D" w:rsidRPr="00CC1179" w:rsidRDefault="62CEFCF0" w:rsidP="708C6F57">
            <w:pPr>
              <w:spacing w:after="120"/>
              <w:rPr>
                <w:rFonts w:cs="Calibri"/>
              </w:rPr>
            </w:pPr>
            <w:r w:rsidRPr="62CEFCF0">
              <w:rPr>
                <w:rFonts w:cs="Calibri"/>
                <w:b/>
                <w:bCs/>
              </w:rPr>
              <w:t xml:space="preserve">b. </w:t>
            </w:r>
            <w:r w:rsidRPr="62CEFCF0">
              <w:rPr>
                <w:rFonts w:cs="Calibri"/>
                <w:i/>
                <w:iCs/>
              </w:rPr>
              <w:t>Summary statement on contributions of department on impact, infrastructure and sustainable development</w:t>
            </w:r>
          </w:p>
          <w:p w14:paraId="6206C6F3" w14:textId="0AE91D81" w:rsidR="62CEFCF0" w:rsidRDefault="492E8A79" w:rsidP="492E8A79">
            <w:pPr>
              <w:spacing w:after="120" w:line="259" w:lineRule="auto"/>
              <w:rPr>
                <w:rFonts w:cs="Calibri"/>
              </w:rPr>
            </w:pPr>
            <w:r w:rsidRPr="492E8A79">
              <w:rPr>
                <w:rFonts w:cs="Calibri"/>
              </w:rPr>
              <w:t xml:space="preserve">The transition of society to mitigate climate change involves electrification of several sectors of society and transition of the electric power system to use sustainable sources of energy. In light of this overall trend, much of the activities throughout the Electrical </w:t>
            </w:r>
            <w:r w:rsidRPr="492E8A79">
              <w:rPr>
                <w:rFonts w:cs="Calibri"/>
              </w:rPr>
              <w:lastRenderedPageBreak/>
              <w:t xml:space="preserve">Engineering and Energy panel are per definition critical for leading and shaping the sustainable development of society. </w:t>
            </w:r>
          </w:p>
          <w:p w14:paraId="36A98FFE" w14:textId="17597701" w:rsidR="0B3BBCF7" w:rsidRDefault="0B3BBCF7" w:rsidP="0B3BBCF7">
            <w:pPr>
              <w:spacing w:after="120" w:line="259" w:lineRule="auto"/>
              <w:rPr>
                <w:rFonts w:cs="Calibri"/>
              </w:rPr>
            </w:pPr>
            <w:r w:rsidRPr="0B3BBCF7">
              <w:rPr>
                <w:rFonts w:cs="Calibri"/>
              </w:rPr>
              <w:t xml:space="preserve">The long-term trend of electrification of society has implied long-term investments in lab-infrastructure, such as the Electrum Laboratory for nanoscale electronics and the laboratories on electric power engineering. The strong societal focus on sustainable energy has implied a recent re-organisation of the electric power lab facilities into a new infrastructure in the form of Sustainable Power Lab (SPL).   </w:t>
            </w:r>
          </w:p>
          <w:p w14:paraId="073FD070" w14:textId="036E76A7" w:rsidR="00AA1F13" w:rsidRPr="00AA1F13" w:rsidRDefault="60497C50" w:rsidP="60497C50">
            <w:pPr>
              <w:pStyle w:val="BodyText"/>
              <w:spacing w:after="0"/>
              <w:rPr>
                <w:rFonts w:eastAsia="Calibri" w:cs="Calibri"/>
                <w:szCs w:val="24"/>
                <w:lang w:val="en-US"/>
              </w:rPr>
            </w:pPr>
            <w:r w:rsidRPr="60497C50">
              <w:rPr>
                <w:rFonts w:eastAsia="Calibri" w:cs="Calibri"/>
                <w:szCs w:val="24"/>
              </w:rPr>
              <w:t xml:space="preserve">Fusion power has potential to become a new sustainable energy source with several advantages compared to present-day energy sources, for example an almost limitless supply of fuel. The possibility of realizing fusion reactors is the driving force of a large international research programme with current focus on the ITER experimental facility in France. The research at the </w:t>
            </w:r>
            <w:r w:rsidRPr="60497C50">
              <w:rPr>
                <w:rFonts w:eastAsia="Calibri" w:cs="Calibri"/>
                <w:i/>
                <w:iCs/>
                <w:szCs w:val="24"/>
              </w:rPr>
              <w:t>Division of Fusion Plasma Physics</w:t>
            </w:r>
            <w:r w:rsidRPr="60497C50">
              <w:rPr>
                <w:rFonts w:eastAsia="Calibri" w:cs="Calibri"/>
                <w:szCs w:val="24"/>
              </w:rPr>
              <w:t xml:space="preserve"> is part of the coordinated European research effort in this area.</w:t>
            </w:r>
            <w:r w:rsidRPr="60497C50">
              <w:rPr>
                <w:rFonts w:eastAsia="Calibri" w:cs="Calibri"/>
                <w:szCs w:val="24"/>
                <w:lang w:val="en-US"/>
              </w:rPr>
              <w:t xml:space="preserve"> </w:t>
            </w:r>
          </w:p>
          <w:p w14:paraId="130CE3C9" w14:textId="77777777" w:rsidR="00AA1F13" w:rsidRPr="00AA1F13" w:rsidRDefault="708C6F57" w:rsidP="00AA1F13">
            <w:pPr>
              <w:spacing w:after="0"/>
              <w:rPr>
                <w:rFonts w:cs="Calibri"/>
                <w:bCs/>
                <w:szCs w:val="24"/>
              </w:rPr>
            </w:pPr>
            <w:r w:rsidRPr="708C6F57">
              <w:rPr>
                <w:rFonts w:cs="Calibri"/>
              </w:rPr>
              <w:t xml:space="preserve"> </w:t>
            </w:r>
          </w:p>
          <w:p w14:paraId="4AF1D288" w14:textId="558A48DC" w:rsidR="004A185D" w:rsidRPr="00CC1179" w:rsidRDefault="004A185D" w:rsidP="60497C50">
            <w:pPr>
              <w:spacing w:after="0"/>
              <w:rPr>
                <w:rFonts w:cs="Calibri"/>
              </w:rPr>
            </w:pPr>
          </w:p>
        </w:tc>
      </w:tr>
      <w:tr w:rsidR="000D6B05" w:rsidRPr="0044157D" w14:paraId="01B01E5D" w14:textId="77777777" w:rsidTr="50F906C4">
        <w:tc>
          <w:tcPr>
            <w:tcW w:w="8789" w:type="dxa"/>
            <w:shd w:val="clear" w:color="auto" w:fill="D9D9D9" w:themeFill="background1" w:themeFillShade="D9"/>
          </w:tcPr>
          <w:p w14:paraId="191625AD" w14:textId="72A858E2" w:rsidR="000D6B05" w:rsidRPr="0044157D" w:rsidRDefault="004A185D" w:rsidP="00910D79">
            <w:pPr>
              <w:spacing w:after="0"/>
              <w:rPr>
                <w:rStyle w:val="Strong"/>
                <w:rFonts w:eastAsiaTheme="majorEastAsia" w:cs="Calibri"/>
                <w:b w:val="0"/>
                <w:bCs w:val="0"/>
                <w:szCs w:val="24"/>
              </w:rPr>
            </w:pPr>
            <w:r>
              <w:rPr>
                <w:rFonts w:cs="Calibri"/>
                <w:b/>
                <w:szCs w:val="24"/>
              </w:rPr>
              <w:lastRenderedPageBreak/>
              <w:t>2</w:t>
            </w:r>
            <w:r w:rsidR="000D6B05" w:rsidRPr="0044157D">
              <w:rPr>
                <w:rFonts w:cs="Calibri"/>
                <w:b/>
                <w:szCs w:val="24"/>
              </w:rPr>
              <w:t>. Research profile</w:t>
            </w:r>
          </w:p>
        </w:tc>
      </w:tr>
      <w:tr w:rsidR="000D6B05" w:rsidRPr="0044157D" w14:paraId="682917DE" w14:textId="77777777" w:rsidTr="50F906C4">
        <w:tc>
          <w:tcPr>
            <w:tcW w:w="8789" w:type="dxa"/>
          </w:tcPr>
          <w:p w14:paraId="5C899852" w14:textId="00ECD94F" w:rsidR="000D6B05" w:rsidRPr="0044157D" w:rsidRDefault="3AF71CF5" w:rsidP="00812580">
            <w:pPr>
              <w:spacing w:after="120"/>
              <w:rPr>
                <w:rFonts w:cs="Calibri"/>
                <w:szCs w:val="24"/>
              </w:rPr>
            </w:pPr>
            <w:r w:rsidRPr="3AF71CF5">
              <w:rPr>
                <w:rFonts w:cs="Calibri"/>
                <w:b/>
                <w:bCs/>
              </w:rPr>
              <w:t>a.</w:t>
            </w:r>
            <w:r w:rsidRPr="3AF71CF5">
              <w:rPr>
                <w:rFonts w:cs="Calibri"/>
              </w:rPr>
              <w:t xml:space="preserve"> </w:t>
            </w:r>
            <w:r w:rsidRPr="3AF71CF5">
              <w:rPr>
                <w:rFonts w:cs="Calibri"/>
                <w:i/>
                <w:iCs/>
              </w:rPr>
              <w:t xml:space="preserve">General information </w:t>
            </w:r>
            <w:r w:rsidR="000473B0">
              <w:rPr>
                <w:rFonts w:cs="Calibri"/>
                <w:i/>
                <w:iCs/>
              </w:rPr>
              <w:t>about</w:t>
            </w:r>
            <w:r w:rsidRPr="3AF71CF5">
              <w:rPr>
                <w:rFonts w:cs="Calibri"/>
                <w:i/>
                <w:iCs/>
              </w:rPr>
              <w:t xml:space="preserve"> the department</w:t>
            </w:r>
          </w:p>
          <w:p w14:paraId="2609B0AC" w14:textId="18027831" w:rsidR="00C66C53" w:rsidRDefault="492E8A79" w:rsidP="3AF71CF5">
            <w:pPr>
              <w:spacing w:after="0"/>
              <w:rPr>
                <w:rFonts w:cs="Calibri"/>
                <w:lang w:val="en-US"/>
              </w:rPr>
            </w:pPr>
            <w:r w:rsidRPr="492E8A79">
              <w:rPr>
                <w:rFonts w:cs="Calibri"/>
              </w:rPr>
              <w:t>The department of Electrical Engineering (EE) is a new department as an organization, and has been in full operation since January, 2020. It is the result of a re-organization done at KTH during the last year where first the number of schools reduced from ten to five and three schools fused and become the</w:t>
            </w:r>
            <w:r w:rsidRPr="492E8A79">
              <w:rPr>
                <w:rFonts w:cs="Calibri"/>
                <w:i/>
                <w:iCs/>
              </w:rPr>
              <w:t xml:space="preserve"> School of Electrical Engineering and Computer Science (EECS)</w:t>
            </w:r>
            <w:r w:rsidRPr="492E8A79">
              <w:rPr>
                <w:rFonts w:cs="Calibri"/>
              </w:rPr>
              <w:t xml:space="preserve">. EE is one of four departments within EECS. The department is presently organized in five divisions with different educational subjects and research themes in common. </w:t>
            </w:r>
          </w:p>
          <w:p w14:paraId="07E9E9D3" w14:textId="63EF27DA" w:rsidR="00C66C53" w:rsidRDefault="3AF71CF5" w:rsidP="003A09D8">
            <w:pPr>
              <w:pStyle w:val="ListParagraph"/>
              <w:numPr>
                <w:ilvl w:val="0"/>
                <w:numId w:val="13"/>
              </w:numPr>
              <w:rPr>
                <w:lang w:val="en-US"/>
              </w:rPr>
            </w:pPr>
            <w:r w:rsidRPr="3AF71CF5">
              <w:rPr>
                <w:rFonts w:ascii="Calibri" w:hAnsi="Calibri" w:cs="Calibri"/>
                <w:lang w:val="en-US"/>
              </w:rPr>
              <w:t>Electronics and Embedded Systems (EES)</w:t>
            </w:r>
          </w:p>
          <w:p w14:paraId="0DBC8075" w14:textId="0095B328" w:rsidR="00D71DC9" w:rsidRPr="00D71DC9" w:rsidRDefault="00D71DC9" w:rsidP="003A09D8">
            <w:pPr>
              <w:pStyle w:val="ListParagraph"/>
              <w:numPr>
                <w:ilvl w:val="0"/>
                <w:numId w:val="13"/>
              </w:numPr>
              <w:rPr>
                <w:rFonts w:ascii="Calibri" w:hAnsi="Calibri" w:cs="Calibri"/>
                <w:lang w:val="en-US"/>
              </w:rPr>
            </w:pPr>
            <w:r w:rsidRPr="00D71DC9">
              <w:rPr>
                <w:rFonts w:ascii="Calibri" w:hAnsi="Calibri" w:cs="Calibri"/>
                <w:lang w:val="en-US"/>
              </w:rPr>
              <w:t>Electromagnetic Engineering</w:t>
            </w:r>
            <w:r>
              <w:rPr>
                <w:rFonts w:ascii="Calibri" w:hAnsi="Calibri" w:cs="Calibri"/>
                <w:lang w:val="en-US"/>
              </w:rPr>
              <w:t xml:space="preserve"> (EME)</w:t>
            </w:r>
          </w:p>
          <w:p w14:paraId="1D20AAC7" w14:textId="2672013B" w:rsidR="00D71DC9" w:rsidRDefault="00D71DC9" w:rsidP="003A09D8">
            <w:pPr>
              <w:pStyle w:val="ListParagraph"/>
              <w:numPr>
                <w:ilvl w:val="0"/>
                <w:numId w:val="13"/>
              </w:numPr>
              <w:rPr>
                <w:rFonts w:ascii="Calibri" w:hAnsi="Calibri" w:cs="Calibri"/>
                <w:lang w:val="en-US"/>
              </w:rPr>
            </w:pPr>
            <w:r w:rsidRPr="00D71DC9">
              <w:rPr>
                <w:rFonts w:ascii="Calibri" w:hAnsi="Calibri" w:cs="Calibri"/>
                <w:lang w:val="en-US"/>
              </w:rPr>
              <w:t>Electric Power and Energy Systems (EPE)</w:t>
            </w:r>
          </w:p>
          <w:p w14:paraId="7EA5F013" w14:textId="3FB476A4" w:rsidR="00D71DC9" w:rsidRDefault="00D71DC9" w:rsidP="003A09D8">
            <w:pPr>
              <w:pStyle w:val="ListParagraph"/>
              <w:numPr>
                <w:ilvl w:val="0"/>
                <w:numId w:val="13"/>
              </w:numPr>
              <w:rPr>
                <w:rFonts w:ascii="Calibri" w:hAnsi="Calibri" w:cs="Calibri"/>
                <w:lang w:val="en-US"/>
              </w:rPr>
            </w:pPr>
            <w:r w:rsidRPr="00D71DC9">
              <w:rPr>
                <w:rFonts w:ascii="Calibri" w:hAnsi="Calibri" w:cs="Calibri"/>
                <w:lang w:val="en-US"/>
              </w:rPr>
              <w:t>Fusion Plasma Physics</w:t>
            </w:r>
            <w:r>
              <w:rPr>
                <w:rFonts w:ascii="Calibri" w:hAnsi="Calibri" w:cs="Calibri"/>
                <w:lang w:val="en-US"/>
              </w:rPr>
              <w:t xml:space="preserve"> (FPP)</w:t>
            </w:r>
          </w:p>
          <w:p w14:paraId="09385862" w14:textId="224CC8F5" w:rsidR="00D71DC9" w:rsidRPr="00D71DC9" w:rsidRDefault="00D71DC9" w:rsidP="003A09D8">
            <w:pPr>
              <w:pStyle w:val="ListParagraph"/>
              <w:numPr>
                <w:ilvl w:val="0"/>
                <w:numId w:val="13"/>
              </w:numPr>
              <w:rPr>
                <w:rFonts w:ascii="Calibri" w:hAnsi="Calibri" w:cs="Calibri"/>
                <w:lang w:val="en-US"/>
              </w:rPr>
            </w:pPr>
            <w:r w:rsidRPr="00D71DC9">
              <w:rPr>
                <w:rFonts w:ascii="Calibri" w:hAnsi="Calibri" w:cs="Calibri"/>
                <w:lang w:val="en-US"/>
              </w:rPr>
              <w:t>Space and Plasma Physics</w:t>
            </w:r>
            <w:r>
              <w:rPr>
                <w:rFonts w:ascii="Calibri" w:hAnsi="Calibri" w:cs="Calibri"/>
                <w:lang w:val="en-US"/>
              </w:rPr>
              <w:t xml:space="preserve"> (SPP)</w:t>
            </w:r>
          </w:p>
          <w:p w14:paraId="58032343" w14:textId="77777777" w:rsidR="00D71DC9" w:rsidRDefault="00D71DC9" w:rsidP="00910D79">
            <w:pPr>
              <w:spacing w:after="0"/>
              <w:rPr>
                <w:rFonts w:cs="Calibri"/>
                <w:szCs w:val="24"/>
                <w:lang w:val="en-US"/>
              </w:rPr>
            </w:pPr>
          </w:p>
          <w:p w14:paraId="5F72B3BC" w14:textId="4833F2BB" w:rsidR="00263DB4" w:rsidRDefault="492E8A79" w:rsidP="5D345B3A">
            <w:pPr>
              <w:spacing w:after="0"/>
              <w:rPr>
                <w:rFonts w:cs="Calibri"/>
                <w:highlight w:val="yellow"/>
              </w:rPr>
            </w:pPr>
            <w:r w:rsidRPr="492E8A79">
              <w:rPr>
                <w:rFonts w:cs="Calibri"/>
                <w:lang w:val="en-US"/>
              </w:rPr>
              <w:t xml:space="preserve">The division EES is strongly connected with activities in </w:t>
            </w:r>
            <w:r w:rsidRPr="492E8A79">
              <w:rPr>
                <w:rFonts w:cs="Calibri"/>
              </w:rPr>
              <w:t>Myfab – the Swedish research infrastructure for micro- and nanofabrication. Furthermore, the Sustainable Power Lab (SPL) provides a common platform for much of the work in the department both for teaching, research and industry collaboration.</w:t>
            </w:r>
          </w:p>
          <w:p w14:paraId="4D4DFDC0" w14:textId="1A58471F" w:rsidR="00632EA8" w:rsidRDefault="00632EA8" w:rsidP="00910D79">
            <w:pPr>
              <w:spacing w:after="0"/>
              <w:rPr>
                <w:rFonts w:cs="Calibri"/>
                <w:szCs w:val="24"/>
              </w:rPr>
            </w:pPr>
          </w:p>
          <w:p w14:paraId="7594ADEB" w14:textId="586CDE02" w:rsidR="06831449" w:rsidRDefault="06831449" w:rsidP="06831449">
            <w:pPr>
              <w:spacing w:after="0"/>
              <w:rPr>
                <w:rFonts w:cs="Calibri"/>
              </w:rPr>
            </w:pPr>
            <w:r w:rsidRPr="06831449">
              <w:rPr>
                <w:rFonts w:cs="Calibri"/>
              </w:rPr>
              <w:t>Three divisions from</w:t>
            </w:r>
            <w:r w:rsidR="00D3501C">
              <w:rPr>
                <w:rFonts w:cs="Calibri"/>
              </w:rPr>
              <w:t xml:space="preserve"> the</w:t>
            </w:r>
            <w:r w:rsidRPr="06831449">
              <w:rPr>
                <w:rFonts w:cs="Calibri"/>
              </w:rPr>
              <w:t xml:space="preserve"> </w:t>
            </w:r>
            <w:r w:rsidR="00D3501C" w:rsidRPr="492E8A79">
              <w:rPr>
                <w:rFonts w:cs="Calibri"/>
              </w:rPr>
              <w:t>department of Electrical Engineering</w:t>
            </w:r>
            <w:r w:rsidRPr="06831449">
              <w:rPr>
                <w:rFonts w:cs="Calibri"/>
              </w:rPr>
              <w:t xml:space="preserve"> (EME, EPE, and FPP) are participating in the KTH Energy platform, together with the Energy Technology Department and departments from chemistry related fields. </w:t>
            </w:r>
            <w:r w:rsidRPr="06831449">
              <w:rPr>
                <w:rFonts w:eastAsia="Calibri" w:cs="Calibri"/>
                <w:color w:val="262626" w:themeColor="text1" w:themeTint="D9"/>
                <w:szCs w:val="24"/>
              </w:rPr>
              <w:t>KTH's Energy Platform connects more than 450 researchers in 30 research groups and five competence centres in 17 research areas related to energy issues. The current director of the Energy platform is Lina Bertling Tjernberg from the EPE division.</w:t>
            </w:r>
          </w:p>
          <w:p w14:paraId="7B8BE388" w14:textId="6DDE3AA9" w:rsidR="06831449" w:rsidRDefault="06831449" w:rsidP="06831449">
            <w:pPr>
              <w:spacing w:after="0"/>
              <w:rPr>
                <w:rFonts w:eastAsia="Calibri" w:cs="Calibri"/>
                <w:color w:val="262626" w:themeColor="text1" w:themeTint="D9"/>
                <w:szCs w:val="24"/>
              </w:rPr>
            </w:pPr>
          </w:p>
          <w:p w14:paraId="1C013B86" w14:textId="0DAD63E5" w:rsidR="392DE6FE" w:rsidRDefault="05EA6DE4" w:rsidP="05EA6DE4">
            <w:pPr>
              <w:spacing w:after="0"/>
            </w:pPr>
            <w:r w:rsidRPr="05EA6DE4">
              <w:rPr>
                <w:rFonts w:cs="Calibri"/>
              </w:rPr>
              <w:t xml:space="preserve">The staff consists of 210 people with 27 Professors, 16 Associate Professors, 3 Assistant Professors (1 contracted to start Sept. 2020), 13 researchers and 94 PhD students. </w:t>
            </w:r>
          </w:p>
          <w:p w14:paraId="41A88EB8" w14:textId="21B5CBA2" w:rsidR="06831449" w:rsidRDefault="50F906C4" w:rsidP="06831449">
            <w:pPr>
              <w:spacing w:after="0"/>
              <w:rPr>
                <w:rFonts w:cs="Calibri"/>
              </w:rPr>
            </w:pPr>
            <w:r w:rsidRPr="50F906C4">
              <w:rPr>
                <w:rFonts w:cs="Calibri"/>
              </w:rPr>
              <w:t>Our plans for faculty development are discussed in Section 3c ‘Current Faculty Situation’.</w:t>
            </w:r>
          </w:p>
          <w:p w14:paraId="494EEEE3" w14:textId="649AAAC5" w:rsidR="06831449" w:rsidRDefault="06831449" w:rsidP="06831449">
            <w:pPr>
              <w:spacing w:after="0"/>
              <w:rPr>
                <w:rFonts w:cs="Calibri"/>
              </w:rPr>
            </w:pPr>
          </w:p>
          <w:p w14:paraId="78AFB2F5" w14:textId="77777777" w:rsidR="000D6B05" w:rsidRPr="0044157D" w:rsidRDefault="60497C50" w:rsidP="00910D79">
            <w:pPr>
              <w:spacing w:after="120"/>
              <w:rPr>
                <w:rFonts w:cs="Calibri"/>
                <w:i/>
                <w:szCs w:val="24"/>
              </w:rPr>
            </w:pPr>
            <w:r w:rsidRPr="60497C50">
              <w:rPr>
                <w:rFonts w:cs="Calibri"/>
                <w:b/>
                <w:bCs/>
              </w:rPr>
              <w:t>b</w:t>
            </w:r>
            <w:r w:rsidRPr="60497C50">
              <w:rPr>
                <w:rFonts w:cs="Calibri"/>
              </w:rPr>
              <w:t xml:space="preserve">. </w:t>
            </w:r>
            <w:r w:rsidRPr="60497C50">
              <w:rPr>
                <w:rFonts w:cs="Calibri"/>
                <w:i/>
                <w:iCs/>
              </w:rPr>
              <w:t xml:space="preserve">Central research questions and themes, knowledge gaps addressed, main research activities and composition of research team(s) </w:t>
            </w:r>
          </w:p>
          <w:p w14:paraId="748CA02C" w14:textId="330FAE79" w:rsidR="492E8A79" w:rsidRDefault="492E8A79" w:rsidP="492E8A79">
            <w:pPr>
              <w:rPr>
                <w:lang w:val="en-US"/>
              </w:rPr>
            </w:pPr>
            <w:r w:rsidRPr="492E8A79">
              <w:rPr>
                <w:rFonts w:cs="Calibri"/>
                <w:lang w:val="en-US"/>
              </w:rPr>
              <w:t xml:space="preserve">The research questions in the field of electrical engineering can be formulated on many levels and be influenced by societal change and findings at the research front. Some areas are self-sustained on ideas, semiconductors, embedded systems, fusion, space plasma. Research in other areas follows from technological paradigm shift e.g. electrification in the automotive sector, policy shifts or changes in societal needs or trends. This applies to electric power systems, integration of renewable power sources with lack of mechanical inertia wind and solar power), electricity market deregulation, and application of new materials. </w:t>
            </w:r>
            <w:r w:rsidRPr="492E8A79">
              <w:rPr>
                <w:lang w:val="en-US"/>
              </w:rPr>
              <w:t>The impact of technologies that have their roots in any field of electrical engineering is enormous today. The evolution of electronic devices has been the enabler to applications in so many fields that it is almost endless. The sustainable energy future on earth will to a large extent rely on the electric power system. The integration of renewable energy power production and the transition in transportation sector from fossil-based fuels to battery driven electric propulsion systems cause new challenges to handle. The near future lies in the hand of the ability of the electric power system to handle all requirements and changes that has to be implemented. In longer perspective the research on fusion plasma physics may again turn the picture in the energy area.</w:t>
            </w:r>
          </w:p>
          <w:p w14:paraId="3A68480F" w14:textId="2D64527B" w:rsidR="708C6F57" w:rsidRDefault="492E8A79" w:rsidP="708C6F57">
            <w:pPr>
              <w:spacing w:after="0"/>
              <w:rPr>
                <w:rFonts w:cs="Calibri"/>
                <w:highlight w:val="yellow"/>
                <w:lang w:val="en-US"/>
              </w:rPr>
            </w:pPr>
            <w:r w:rsidRPr="492E8A79">
              <w:rPr>
                <w:rFonts w:cs="Calibri"/>
                <w:lang w:val="en-US"/>
              </w:rPr>
              <w:t xml:space="preserve">Some examples of central research questions from our on-going research are:  </w:t>
            </w:r>
          </w:p>
          <w:p w14:paraId="2C6EA645" w14:textId="012FC847" w:rsidR="392DE6FE" w:rsidRDefault="392DE6FE" w:rsidP="392DE6FE">
            <w:pPr>
              <w:spacing w:after="0"/>
              <w:rPr>
                <w:rFonts w:cs="Calibri"/>
                <w:highlight w:val="yellow"/>
                <w:lang w:val="en-US"/>
              </w:rPr>
            </w:pPr>
          </w:p>
          <w:p w14:paraId="0B1548AB" w14:textId="47650CDB" w:rsidR="60497C50" w:rsidRDefault="492E8A79" w:rsidP="003A09D8">
            <w:pPr>
              <w:pStyle w:val="ListParagraph"/>
              <w:numPr>
                <w:ilvl w:val="0"/>
                <w:numId w:val="5"/>
              </w:numPr>
              <w:rPr>
                <w:rFonts w:ascii="Calibri" w:eastAsia="Calibri" w:hAnsi="Calibri" w:cs="Calibri"/>
                <w:lang w:val="en-US"/>
              </w:rPr>
            </w:pPr>
            <w:r w:rsidRPr="492E8A79">
              <w:rPr>
                <w:rFonts w:ascii="Calibri" w:eastAsia="Calibri" w:hAnsi="Calibri" w:cs="Calibri"/>
                <w:lang w:val="en-US"/>
              </w:rPr>
              <w:t>How can custom designed electronic hardware contribute to energy efficient and high-performance artificial intelligence and brain-like computing?</w:t>
            </w:r>
          </w:p>
          <w:p w14:paraId="3A5DC43B" w14:textId="0F464D57" w:rsidR="60497C50" w:rsidRPr="00D3501C" w:rsidRDefault="492E8A79" w:rsidP="003A09D8">
            <w:pPr>
              <w:pStyle w:val="ListParagraph"/>
              <w:numPr>
                <w:ilvl w:val="0"/>
                <w:numId w:val="5"/>
              </w:numPr>
              <w:rPr>
                <w:rFonts w:ascii="Calibri" w:eastAsia="Calibri" w:hAnsi="Calibri" w:cs="Calibri"/>
                <w:lang w:val="en-US"/>
              </w:rPr>
            </w:pPr>
            <w:r w:rsidRPr="00D3501C">
              <w:rPr>
                <w:rFonts w:ascii="Calibri" w:eastAsia="Calibri" w:hAnsi="Calibri" w:cs="Calibri"/>
                <w:lang w:val="en-US"/>
              </w:rPr>
              <w:t>How can we synthesize reliable software for embedded system platforms?</w:t>
            </w:r>
          </w:p>
          <w:p w14:paraId="3E4A9020" w14:textId="3D3DD5CF" w:rsidR="5D345B3A" w:rsidRPr="00D3501C" w:rsidRDefault="492E8A79" w:rsidP="003A09D8">
            <w:pPr>
              <w:pStyle w:val="ListParagraph"/>
              <w:numPr>
                <w:ilvl w:val="0"/>
                <w:numId w:val="5"/>
              </w:numPr>
              <w:rPr>
                <w:rFonts w:ascii="Calibri" w:eastAsia="Calibri" w:hAnsi="Calibri" w:cs="Calibri"/>
                <w:lang w:val="en-US"/>
              </w:rPr>
            </w:pPr>
            <w:r w:rsidRPr="00D3501C">
              <w:rPr>
                <w:rFonts w:ascii="Calibri" w:eastAsia="Calibri" w:hAnsi="Calibri" w:cs="Calibri"/>
                <w:lang w:val="en-US"/>
              </w:rPr>
              <w:t>How do we adapt the electric power grid so that it can handle 100% renewable energy sources from hydro, wind and solar power?</w:t>
            </w:r>
          </w:p>
          <w:p w14:paraId="067D29E0" w14:textId="41588E9D" w:rsidR="5D345B3A" w:rsidRPr="00D3501C" w:rsidRDefault="492E8A79" w:rsidP="003A09D8">
            <w:pPr>
              <w:pStyle w:val="ListParagraph"/>
              <w:numPr>
                <w:ilvl w:val="0"/>
                <w:numId w:val="5"/>
              </w:numPr>
              <w:rPr>
                <w:lang w:val="en-US"/>
              </w:rPr>
            </w:pPr>
            <w:r w:rsidRPr="00D3501C">
              <w:rPr>
                <w:rFonts w:ascii="Calibri" w:eastAsia="Calibri" w:hAnsi="Calibri" w:cs="Calibri"/>
                <w:lang w:val="en-US"/>
              </w:rPr>
              <w:t>How do we ensure that electric vehicles, including commercial EVs, become competitive in all aspects against fossil-fuel vehicles?</w:t>
            </w:r>
          </w:p>
          <w:p w14:paraId="5ADB1253" w14:textId="508BBD75" w:rsidR="3EB65E74" w:rsidRPr="00D3501C" w:rsidRDefault="492E8A79" w:rsidP="003A09D8">
            <w:pPr>
              <w:pStyle w:val="ListParagraph"/>
              <w:numPr>
                <w:ilvl w:val="0"/>
                <w:numId w:val="5"/>
              </w:numPr>
              <w:rPr>
                <w:rFonts w:ascii="Calibri" w:eastAsia="Calibri" w:hAnsi="Calibri" w:cs="Calibri"/>
                <w:lang w:val="en-US"/>
              </w:rPr>
            </w:pPr>
            <w:r w:rsidRPr="00D3501C">
              <w:rPr>
                <w:rFonts w:ascii="Calibri" w:eastAsia="Calibri" w:hAnsi="Calibri" w:cs="Calibri"/>
                <w:lang w:val="en-US"/>
              </w:rPr>
              <w:t xml:space="preserve">How can we balance the level of automation and control of power systems, needed for stability, cost efficiency and reducing climate impact with the costs and risks associated with increased computing and communication? </w:t>
            </w:r>
          </w:p>
          <w:p w14:paraId="207FEFB1" w14:textId="0E4673A9" w:rsidR="708C6F57" w:rsidRDefault="492E8A79" w:rsidP="003A09D8">
            <w:pPr>
              <w:pStyle w:val="ListParagraph"/>
              <w:numPr>
                <w:ilvl w:val="0"/>
                <w:numId w:val="5"/>
              </w:numPr>
              <w:rPr>
                <w:rFonts w:ascii="Calibri" w:eastAsia="Calibri" w:hAnsi="Calibri" w:cs="Calibri"/>
                <w:lang w:val="en-US"/>
              </w:rPr>
            </w:pPr>
            <w:r w:rsidRPr="00D3501C">
              <w:rPr>
                <w:rFonts w:ascii="Calibri" w:eastAsia="Calibri" w:hAnsi="Calibri" w:cs="Calibri"/>
                <w:lang w:val="en-US"/>
              </w:rPr>
              <w:t>How can the electric power grid become even more reliable with the utilization of on-line monitoring and diagnostic methods</w:t>
            </w:r>
            <w:r w:rsidRPr="492E8A79">
              <w:rPr>
                <w:rFonts w:ascii="Calibri" w:eastAsia="Calibri" w:hAnsi="Calibri" w:cs="Calibri"/>
                <w:lang w:val="en-US"/>
              </w:rPr>
              <w:t>?</w:t>
            </w:r>
          </w:p>
          <w:p w14:paraId="24F5F4E8" w14:textId="4CF9BCFB" w:rsidR="0B3BBCF7" w:rsidRDefault="492E8A79" w:rsidP="003A09D8">
            <w:pPr>
              <w:pStyle w:val="ListParagraph"/>
              <w:numPr>
                <w:ilvl w:val="0"/>
                <w:numId w:val="5"/>
              </w:numPr>
              <w:rPr>
                <w:rFonts w:ascii="Calibri" w:eastAsia="Calibri" w:hAnsi="Calibri" w:cs="Calibri"/>
                <w:lang w:val="en-GB"/>
              </w:rPr>
            </w:pPr>
            <w:r w:rsidRPr="492E8A79">
              <w:rPr>
                <w:rFonts w:ascii="Calibri" w:eastAsia="Calibri" w:hAnsi="Calibri" w:cs="Calibri"/>
                <w:lang w:val="en-GB"/>
              </w:rPr>
              <w:t>Can we realize fusion power plants?  Key research issues are tokamak modelling, confinement physics, plasma-wall interaction, first wall materials, magnetohydrodynamic stability and control, and computational techniques for fusion plasmas.</w:t>
            </w:r>
          </w:p>
          <w:p w14:paraId="773FBAA9" w14:textId="319037C1" w:rsidR="3EB65E74" w:rsidRDefault="492E8A79" w:rsidP="003A09D8">
            <w:pPr>
              <w:pStyle w:val="ListParagraph"/>
              <w:numPr>
                <w:ilvl w:val="0"/>
                <w:numId w:val="5"/>
              </w:numPr>
              <w:rPr>
                <w:rFonts w:ascii="Calibri" w:eastAsia="Calibri" w:hAnsi="Calibri" w:cs="Calibri"/>
                <w:lang w:val="en-GB"/>
              </w:rPr>
            </w:pPr>
            <w:r w:rsidRPr="492E8A79">
              <w:rPr>
                <w:rFonts w:ascii="Calibri" w:eastAsia="Calibri" w:hAnsi="Calibri" w:cs="Calibri"/>
                <w:lang w:val="en-GB"/>
              </w:rPr>
              <w:t>How solar wind - magnetosphere - ionosphere couple, particularly at kinetic scales?</w:t>
            </w:r>
          </w:p>
          <w:p w14:paraId="777BB1FD" w14:textId="273B6E81" w:rsidR="4427EA8B" w:rsidRDefault="492E8A79" w:rsidP="003A09D8">
            <w:pPr>
              <w:pStyle w:val="ListParagraph"/>
              <w:numPr>
                <w:ilvl w:val="0"/>
                <w:numId w:val="5"/>
              </w:numPr>
              <w:rPr>
                <w:lang w:val="en-GB"/>
              </w:rPr>
            </w:pPr>
            <w:r w:rsidRPr="492E8A79">
              <w:rPr>
                <w:rFonts w:ascii="Calibri" w:eastAsia="Calibri" w:hAnsi="Calibri" w:cs="Calibri"/>
                <w:lang w:val="en-GB"/>
              </w:rPr>
              <w:t>How can we produce cost-effective antennas with high performance (i.e. high efficiency, high directivity and large steering capabilities) in the millimetre-wave regime?</w:t>
            </w:r>
          </w:p>
          <w:p w14:paraId="35F41A7D" w14:textId="48AED946" w:rsidR="4427EA8B" w:rsidRDefault="4427EA8B" w:rsidP="003A09D8">
            <w:pPr>
              <w:pStyle w:val="ListParagraph"/>
              <w:numPr>
                <w:ilvl w:val="0"/>
                <w:numId w:val="5"/>
              </w:numPr>
              <w:rPr>
                <w:lang w:val="en-GB"/>
              </w:rPr>
            </w:pPr>
            <w:r w:rsidRPr="4427EA8B">
              <w:rPr>
                <w:rFonts w:ascii="Calibri" w:eastAsia="Calibri" w:hAnsi="Calibri" w:cs="Calibri"/>
                <w:lang w:val="en-GB"/>
              </w:rPr>
              <w:t>How can we determine the bandwidth optimal response of receivers (antennas) and scatterers (FSS, nano-particles etc) under constraints on efficiency, materials, field-constraints like incident-direction, front-to-back ratio, and shape changes, at arbitrary frequency bands?</w:t>
            </w:r>
          </w:p>
          <w:p w14:paraId="50D256E8" w14:textId="466F8F0B" w:rsidR="49CB27EE" w:rsidRDefault="49CB27EE" w:rsidP="392DE6FE">
            <w:pPr>
              <w:spacing w:after="0"/>
              <w:rPr>
                <w:rFonts w:eastAsia="Calibri" w:cs="Calibri"/>
                <w:szCs w:val="24"/>
              </w:rPr>
            </w:pPr>
          </w:p>
          <w:p w14:paraId="4FF0962E" w14:textId="1E15A24B" w:rsidR="6A2D7309" w:rsidRDefault="492E8A79" w:rsidP="6A2D7309">
            <w:pPr>
              <w:spacing w:line="259" w:lineRule="auto"/>
            </w:pPr>
            <w:r w:rsidRPr="492E8A79">
              <w:rPr>
                <w:lang w:val="en-US"/>
              </w:rPr>
              <w:t>The five divisions conduct research in the following areas:</w:t>
            </w:r>
          </w:p>
          <w:p w14:paraId="0EF84334" w14:textId="77777777" w:rsidR="00910D79" w:rsidRDefault="06831449" w:rsidP="06831449">
            <w:pPr>
              <w:rPr>
                <w:rFonts w:cs="Calibri"/>
                <w:lang w:val="en-US"/>
              </w:rPr>
            </w:pPr>
            <w:r w:rsidRPr="06831449">
              <w:rPr>
                <w:rFonts w:eastAsia="Calibri" w:cs="Calibri"/>
                <w:lang w:val="en-US"/>
              </w:rPr>
              <w:t>Electronics and Embedded Systems (EES)</w:t>
            </w:r>
          </w:p>
          <w:p w14:paraId="0918B431" w14:textId="36D40FD2" w:rsidR="0B3BBCF7" w:rsidRDefault="06831449" w:rsidP="06831449">
            <w:pPr>
              <w:pStyle w:val="ListParagraph"/>
              <w:ind w:left="0"/>
              <w:rPr>
                <w:rFonts w:ascii="Calibri" w:eastAsia="Calibri" w:hAnsi="Calibri" w:cs="Calibri"/>
                <w:lang w:val="en-US"/>
              </w:rPr>
            </w:pPr>
            <w:r w:rsidRPr="06831449">
              <w:rPr>
                <w:rFonts w:ascii="Calibri" w:eastAsia="Calibri" w:hAnsi="Calibri" w:cs="Calibri"/>
                <w:lang w:val="en-US"/>
              </w:rPr>
              <w:t xml:space="preserve">The research spans from semiconductor device fabrication to electronic systems, and includes hardware and software topics. The work on semiconductor devices focusses on novel materials that are the keys to building any electronic circuit, from nanometer scaled silicon and germanium MOSFETs to high voltage and high temperature silicon carbide (SiC) devices and photonic devices like lasers and UV-detectors. A key research direction is 3D heterogenous integration. We are also investigating emerging devices in printed and flexible electronics, integrated photonics and quantum communication, as well as spintronic devices and circuits. </w:t>
            </w:r>
            <w:commentRangeStart w:id="6"/>
            <w:commentRangeEnd w:id="6"/>
            <w:r w:rsidRPr="06831449">
              <w:rPr>
                <w:rFonts w:ascii="Calibri" w:eastAsia="Calibri" w:hAnsi="Calibri" w:cs="Calibri"/>
                <w:lang w:val="en-US"/>
              </w:rPr>
              <w:t xml:space="preserve">Our access to a full suite of cleanroom tools is unique for an academic research group. Similar capabilities are normally only found at research institutes (e.g. IMEC, LETI, AMO, Fraunhofer) or in industrial research environments. We also have strong activities on integrated circuits and systems: VLSI design and mixed-signals ICs and systems with biomedical and health applications. On the system level, neural network accelerators and neuromorphic brain-like computing are investigated as techniques useful for machine-learning. Recent work includes a novel micro-architectural level, based on </w:t>
            </w:r>
            <w:commentRangeStart w:id="7"/>
            <w:commentRangeEnd w:id="7"/>
            <w:r w:rsidRPr="06831449">
              <w:rPr>
                <w:rFonts w:ascii="Calibri" w:eastAsia="Calibri" w:hAnsi="Calibri" w:cs="Calibri"/>
                <w:lang w:val="en-US"/>
              </w:rPr>
              <w:t xml:space="preserve">SiLago blocks, 3-4 orders larger than standard-cells, coarse grain reconfigurable and customized for specific domains, see also one of the impact cases. Within the area of embedded systems, the focus is on hardware architecture and software for embedded systems, including hardware security and network on chip, AI, and edge computing. </w:t>
            </w:r>
            <w:commentRangeStart w:id="8"/>
            <w:commentRangeEnd w:id="8"/>
          </w:p>
          <w:p w14:paraId="50DAB296" w14:textId="71B23279" w:rsidR="0B3BBCF7" w:rsidRDefault="0B3BBCF7" w:rsidP="0B3BBCF7">
            <w:pPr>
              <w:pStyle w:val="ListParagraph"/>
              <w:rPr>
                <w:rFonts w:ascii="Calibri" w:eastAsia="Calibri" w:hAnsi="Calibri" w:cs="Calibri"/>
                <w:lang w:val="en-US"/>
              </w:rPr>
            </w:pPr>
          </w:p>
          <w:p w14:paraId="0853C898" w14:textId="77777777" w:rsidR="00910D79" w:rsidRPr="00296928" w:rsidRDefault="06831449" w:rsidP="06831449">
            <w:pPr>
              <w:rPr>
                <w:rFonts w:cs="Calibri"/>
                <w:szCs w:val="24"/>
                <w:lang w:val="en-US"/>
              </w:rPr>
            </w:pPr>
            <w:r w:rsidRPr="06831449">
              <w:rPr>
                <w:rFonts w:cs="Calibri"/>
                <w:szCs w:val="24"/>
                <w:lang w:val="en-US"/>
              </w:rPr>
              <w:t>Electromagnetic Engineering (EME)</w:t>
            </w:r>
          </w:p>
          <w:p w14:paraId="11432ACA" w14:textId="209F3AEA" w:rsidR="00910D79" w:rsidRPr="00296928" w:rsidRDefault="06831449" w:rsidP="06831449">
            <w:pPr>
              <w:pStyle w:val="ListParagraph"/>
              <w:ind w:left="0"/>
              <w:rPr>
                <w:rFonts w:ascii="Calibri" w:eastAsia="Calibri" w:hAnsi="Calibri" w:cs="Calibri"/>
                <w:lang w:val="en-US"/>
              </w:rPr>
            </w:pPr>
            <w:r w:rsidRPr="06831449">
              <w:rPr>
                <w:rFonts w:ascii="Calibri" w:hAnsi="Calibri" w:cs="Calibri"/>
                <w:lang w:val="en-US"/>
              </w:rPr>
              <w:t xml:space="preserve">The research is focused on several areas: electromagnetic phenomena, </w:t>
            </w:r>
            <w:r w:rsidRPr="06831449">
              <w:rPr>
                <w:rFonts w:ascii="Calibri" w:eastAsia="Calibri" w:hAnsi="Calibri" w:cs="Calibri"/>
                <w:lang w:val="en-US"/>
              </w:rPr>
              <w:t xml:space="preserve">antennas, microwave devices, metamaterials and scattering. Focus is on new hardware for future communications, like high-speed 5G, 6G (180 GHz).  Theoretical challenges include physical performance bounds on antenna parameters like relations between bandwidth and parameters like gain, front-to-back ratio, efficiency, and the size of e.g. an embedded antenna. Theory and algorithms for inverse electromagnetic problems, is another research area with broad applications. Electromagnetic interference is another area that targets specific problematic tasks </w:t>
            </w:r>
          </w:p>
          <w:p w14:paraId="58CD4A5E" w14:textId="39ED942D" w:rsidR="00910D79" w:rsidRPr="00296928" w:rsidRDefault="06831449" w:rsidP="06831449">
            <w:pPr>
              <w:pStyle w:val="ListParagraph"/>
              <w:ind w:left="0"/>
              <w:rPr>
                <w:rFonts w:ascii="Calibri" w:eastAsia="Calibri" w:hAnsi="Calibri" w:cs="Calibri"/>
                <w:highlight w:val="yellow"/>
                <w:lang w:val="en-US"/>
              </w:rPr>
            </w:pPr>
            <w:r w:rsidRPr="06831449">
              <w:rPr>
                <w:rFonts w:ascii="Calibri" w:eastAsia="Calibri" w:hAnsi="Calibri" w:cs="Calibri"/>
                <w:lang w:val="en-US"/>
              </w:rPr>
              <w:t xml:space="preserve">Power grid components is a focused area to develop physically and electromagnetic based models, methods and material characterization with applications to high voltage insulation systems and insulation diagnostics, high voltage and high current switching devices, power system protection. Diagnostics and monitoring are of critical importance for the reliability of the power grid components and on-going research covers both experimental research as well as statistically based reliability analysis. The ability of the power grid to host all sorts of renewable energy also imply a re-thinking of several aspects on power system protection, which is a relatively new focus area for the research, as well as the recent area on power storage devices with the aim to increase the possibility of increased amount of energy storage in the power grid. Switching technologies are crucial components in a power grid which has rendered much research around for example ultra-fast circuit breakers and polymer ablation processes. </w:t>
            </w:r>
          </w:p>
          <w:p w14:paraId="56AAE0D2" w14:textId="77777777" w:rsidR="00910D79" w:rsidRPr="007C70BB" w:rsidRDefault="00910D79" w:rsidP="00910D79">
            <w:pPr>
              <w:pStyle w:val="ListParagraph"/>
              <w:rPr>
                <w:rFonts w:ascii="Calibri" w:hAnsi="Calibri" w:cs="Calibri"/>
                <w:lang w:val="en-US"/>
              </w:rPr>
            </w:pPr>
          </w:p>
          <w:p w14:paraId="747FCEF9" w14:textId="77777777" w:rsidR="00910D79" w:rsidRDefault="06831449" w:rsidP="06831449">
            <w:pPr>
              <w:rPr>
                <w:rFonts w:cs="Calibri"/>
                <w:lang w:val="en-US"/>
              </w:rPr>
            </w:pPr>
            <w:r w:rsidRPr="06831449">
              <w:rPr>
                <w:rFonts w:cs="Calibri"/>
                <w:lang w:val="en-US"/>
              </w:rPr>
              <w:lastRenderedPageBreak/>
              <w:t>Electric Power and Energy Systems (EPE)</w:t>
            </w:r>
          </w:p>
          <w:p w14:paraId="66341BDE" w14:textId="3C51E489" w:rsidR="00910D79" w:rsidRPr="00483868" w:rsidRDefault="06831449" w:rsidP="06831449">
            <w:pPr>
              <w:pStyle w:val="ListParagraph"/>
              <w:ind w:left="0"/>
              <w:rPr>
                <w:rFonts w:ascii="Calibri" w:eastAsia="Calibri" w:hAnsi="Calibri" w:cs="Calibri"/>
                <w:lang w:val="en-US"/>
              </w:rPr>
            </w:pPr>
            <w:r w:rsidRPr="06831449">
              <w:rPr>
                <w:rFonts w:ascii="Calibri" w:eastAsia="Calibri" w:hAnsi="Calibri" w:cs="Calibri"/>
                <w:lang w:val="en-US"/>
              </w:rPr>
              <w:t xml:space="preserve">The research covers many aspects of electric power and electric energy aspects. One focus area on system level is on Integration of Renewable Energy Sources with research in the area of operation and investments of power systems with large amounts of solar and wind power.  In Power System Operation and Control the research have been dealing with future electrical energy networks with focus on security and reliability of energy systems, integration of renewables, integration of electric vehicles, demand side management, active networks, de-centralized control and power system operations and design for sustainability. The power electronics research group focus on converters for high-power grid applications (like HVDC and FACTS) electronics with the aim to obtain competitive and cost-effective main-circuit designs for HVDC interconnecting links and HVDC supergrids. In SiC power electronics the focus is on creating the best possible conditions for implementing this new technology, which enables higher efficiencies, higher power densities, but maintained high reliability. Electrical machines and drives focus the research on drives in industrial and automotive applications. Electromagnetic and thermal design as well as control and diagnostic related aspects are considered. Multidisciplinary research activities have also been carried out in order to investigate the impact of ripple currents on automotive lithium-ion battery cells. The most recent research is focusing on advantages with modular and multi-phase electric machinery when applied in automotive and industrial applications. </w:t>
            </w:r>
          </w:p>
          <w:p w14:paraId="781E05C3" w14:textId="77777777" w:rsidR="00910D79" w:rsidRPr="00F4637D" w:rsidRDefault="00910D79" w:rsidP="00910D79">
            <w:pPr>
              <w:pStyle w:val="ListParagraph"/>
              <w:rPr>
                <w:rFonts w:ascii="Calibri" w:hAnsi="Calibri" w:cs="Calibri"/>
                <w:lang w:val="en-US"/>
              </w:rPr>
            </w:pPr>
          </w:p>
          <w:p w14:paraId="32CFFC2E" w14:textId="77777777" w:rsidR="00910D79" w:rsidRDefault="06831449" w:rsidP="06831449">
            <w:pPr>
              <w:rPr>
                <w:rFonts w:cs="Calibri"/>
                <w:lang w:val="en-US"/>
              </w:rPr>
            </w:pPr>
            <w:r w:rsidRPr="06831449">
              <w:rPr>
                <w:rFonts w:cs="Calibri"/>
                <w:lang w:val="en-US"/>
              </w:rPr>
              <w:t>Fusion Plasma Physics (FPP)</w:t>
            </w:r>
          </w:p>
          <w:p w14:paraId="700A51BE" w14:textId="77777777" w:rsidR="00910D79" w:rsidRPr="00553D75" w:rsidRDefault="06831449" w:rsidP="06831449">
            <w:pPr>
              <w:pStyle w:val="BodyText"/>
              <w:rPr>
                <w:rFonts w:asciiTheme="minorHAnsi" w:hAnsiTheme="minorHAnsi"/>
              </w:rPr>
            </w:pPr>
            <w:r>
              <w:t>The key facility in the international fusion research programme is the experimental facility ITER in Cadarache, France, scheduled for start of operation in 2025. The next step following ITER is a demonstration fusion power plant (DEMO), which is foreseen to produce net electricity for the grid of the order of a few hundred Megawatts around the mid-century. The research activity at FPP is largely integrated in the European fusion programme as implemented in H2020 by the EUROfusion consortium. One research theme is tokamak modelling, which is focused on studying wave-particle interactions relevant for fusion experiments, in particular for heating, current drive and excitation of waves by fast particles. The research results in developing numerical models and codes for studies of Ion Cyclotron Resonance Heating (ICRH), and in validating them against experiments. Another field of research is the tokamak confinement physics, with the research task of making a significant contribution to the understanding of the pedestal performance in tokamaks and specifically in the Joint European Torus (JET). The</w:t>
            </w:r>
            <w:r w:rsidRPr="06831449">
              <w:rPr>
                <w:lang w:val="en-US"/>
              </w:rPr>
              <w:t xml:space="preserve"> </w:t>
            </w:r>
            <w:r>
              <w:t xml:space="preserve">plasma wall interaction is another field of importance and current research involves a broad characterisation of plasma-facing components (PFC) from present-day tokamaks and testing of materials (beryllium, carbon-based composites and high-Z metals) including the development of wall materials and diagnostics for JET-ILW. A large experimental facility exists at KTH - the EXTRAP T2R device – and the research is focused on active magnetohydrodynamic (MHD) mode control, in particular magnetic feedback control of the Resistive Wall Mode (RWM). The aim of this research theme is to develop methods and physics understanding required for MHD control. Computational techniques for fusion plasmas is a research field related to </w:t>
            </w:r>
            <w:r w:rsidRPr="06831449">
              <w:rPr>
                <w:lang w:val="en-US"/>
              </w:rPr>
              <w:t xml:space="preserve">plasma theory and modelling of extremely complex turbulent and transport processes, and one research topic is on producing significantly more efficient turbulence and transport codes for interpretation, prediction </w:t>
            </w:r>
            <w:r w:rsidRPr="06831449">
              <w:rPr>
                <w:lang w:val="en-US"/>
              </w:rPr>
              <w:lastRenderedPageBreak/>
              <w:t>and control of optimized fusion plasmas, for example development of a Generalized Weighted Residual Method – GWRM, that has the potential to enhance computational efficiency substantially.</w:t>
            </w:r>
          </w:p>
          <w:p w14:paraId="218DE43D" w14:textId="77777777" w:rsidR="00910D79" w:rsidRPr="00553D75" w:rsidRDefault="06831449" w:rsidP="06831449">
            <w:pPr>
              <w:rPr>
                <w:rFonts w:cs="Calibri"/>
                <w:lang w:val="en-US"/>
              </w:rPr>
            </w:pPr>
            <w:r w:rsidRPr="06831449">
              <w:rPr>
                <w:rFonts w:cs="Calibri"/>
                <w:lang w:val="en-US"/>
              </w:rPr>
              <w:t>Space and Plasma Physics (SPP)</w:t>
            </w:r>
          </w:p>
          <w:p w14:paraId="5B79AB8F" w14:textId="6A8BA6F8" w:rsidR="00910D79" w:rsidRDefault="06831449" w:rsidP="06831449">
            <w:pPr>
              <w:spacing w:after="0"/>
              <w:rPr>
                <w:lang w:val="en-US"/>
              </w:rPr>
            </w:pPr>
            <w:r w:rsidRPr="06831449">
              <w:rPr>
                <w:rFonts w:cs="Calibri"/>
                <w:lang w:val="en-US"/>
              </w:rPr>
              <w:t xml:space="preserve">Research in space plasma is essentially electromagnetic phenomena occurring in the magnetosphere outside the earth. Research is focused on controlling </w:t>
            </w:r>
            <w:r w:rsidRPr="06831449">
              <w:rPr>
                <w:lang w:val="en-US"/>
              </w:rPr>
              <w:t xml:space="preserve">mechanisms of solar wind - magnetosphere - ionosphere coupling at Earth and understanding the key drivers of space weather, magnetosphere-ionosphere coupling at kinetic scales and formation processes of polar arcs.  Research is also focused on physics of bow shock, magnetosheath jet formation and their impact on magnetosphere, with future directions are to focus on understanding the jet formation mechanisms and their interaction with the magnetopause. A wide by central theme is to perform comparative studies of near-earth plasmas with plasma processes at other solar system bodies exposed to the solar wind, e.g. solar wind - magnetosphere coupling at Mercury and Saturn, KH instability at Mercury, magnetic holes, lower hybrid waves at comet. Special studies are also on the unique processes occurring at remote bodies, e.g. detection of water plumes at the Jupiter’s moon Europa. One research group is focusing on complex plasmas such as i) plasma-surface interactions including their effect on the global plasma properties and (ii) first-principle models of non-ideal plasmas (strongly coupled, dusty and complex plasmas). Complex plasmas research has applications in fusion devices such as tokamaks where theory and experiments are devoted to: understanding of dust transport, adhesion and remobilization in plasmas; macroscopic metal melt motion; emissive sheaths and vapor shielding in dense magnetized plasmas. </w:t>
            </w:r>
          </w:p>
          <w:p w14:paraId="1E3F60FB" w14:textId="67BA1C6C" w:rsidR="009C6ED2" w:rsidRDefault="009C6ED2" w:rsidP="00910D79">
            <w:pPr>
              <w:spacing w:after="0"/>
              <w:rPr>
                <w:rFonts w:cs="Calibri"/>
                <w:szCs w:val="24"/>
                <w:lang w:val="en-US"/>
              </w:rPr>
            </w:pPr>
          </w:p>
          <w:p w14:paraId="24D5F28E" w14:textId="77777777" w:rsidR="000D6B05" w:rsidRPr="0044157D" w:rsidRDefault="000D6B05" w:rsidP="00910D79">
            <w:pPr>
              <w:spacing w:after="0"/>
              <w:rPr>
                <w:rFonts w:cs="Calibri"/>
                <w:b/>
                <w:iCs/>
                <w:szCs w:val="24"/>
              </w:rPr>
            </w:pPr>
          </w:p>
          <w:p w14:paraId="3EC6E4FD" w14:textId="7BA64E68" w:rsidR="000D6B05" w:rsidRDefault="06831449" w:rsidP="00910D79">
            <w:pPr>
              <w:spacing w:after="120"/>
              <w:rPr>
                <w:rFonts w:cs="Calibri"/>
                <w:i/>
                <w:color w:val="000000" w:themeColor="text1"/>
                <w:szCs w:val="24"/>
              </w:rPr>
            </w:pPr>
            <w:r w:rsidRPr="06831449">
              <w:rPr>
                <w:rFonts w:cs="Calibri"/>
                <w:b/>
                <w:bCs/>
              </w:rPr>
              <w:t>c.</w:t>
            </w:r>
            <w:r w:rsidRPr="06831449">
              <w:rPr>
                <w:rFonts w:cs="Calibri"/>
              </w:rPr>
              <w:t xml:space="preserve"> </w:t>
            </w:r>
            <w:r w:rsidRPr="06831449">
              <w:rPr>
                <w:rFonts w:cs="Calibri"/>
                <w:i/>
                <w:iCs/>
              </w:rPr>
              <w:t xml:space="preserve">Contributions to the advancement of the state of the art within the </w:t>
            </w:r>
            <w:r w:rsidRPr="06831449">
              <w:rPr>
                <w:rFonts w:cs="Calibri"/>
                <w:i/>
                <w:iCs/>
                <w:color w:val="000000" w:themeColor="text1"/>
              </w:rPr>
              <w:t xml:space="preserve">research fields of the department </w:t>
            </w:r>
          </w:p>
          <w:p w14:paraId="62D8A592" w14:textId="77777777" w:rsidR="000473B0" w:rsidRDefault="000473B0" w:rsidP="492E8A79">
            <w:pPr>
              <w:rPr>
                <w:rFonts w:eastAsia="Calibri" w:cs="Calibri"/>
                <w:lang w:val="en-US"/>
              </w:rPr>
            </w:pPr>
          </w:p>
          <w:p w14:paraId="65E23816" w14:textId="4C6892E8" w:rsidR="492E8A79" w:rsidRDefault="492E8A79" w:rsidP="492E8A79">
            <w:pPr>
              <w:rPr>
                <w:rFonts w:cs="Calibri"/>
                <w:lang w:val="en-US"/>
              </w:rPr>
            </w:pPr>
            <w:r w:rsidRPr="492E8A79">
              <w:rPr>
                <w:rFonts w:eastAsia="Calibri" w:cs="Calibri"/>
                <w:lang w:val="en-US"/>
              </w:rPr>
              <w:t>Electronics and Embedded Systems (EES)</w:t>
            </w:r>
          </w:p>
          <w:p w14:paraId="01DDB316" w14:textId="16D4C135" w:rsidR="00046CF6" w:rsidRDefault="6A2D7309" w:rsidP="575DB160">
            <w:pPr>
              <w:spacing w:after="120"/>
              <w:rPr>
                <w:color w:val="000000"/>
                <w:sz w:val="22"/>
                <w:lang w:val="en-US"/>
              </w:rPr>
            </w:pPr>
            <w:r w:rsidRPr="6A2D7309">
              <w:rPr>
                <w:color w:val="000000" w:themeColor="text1"/>
                <w:lang w:val="en-US"/>
              </w:rPr>
              <w:t>Several research leaders have jointly established a strong competence in the area of silicon-carbide integrated circuits, for high temperature and harsh environment applications, also including space. The circuit demonstrators from KTH are now state-of-the-art, both in terms of operating temperature 500-600 °C and IC complexity. Both analog and digital circuit demonstrators, with thousands of integrated transistors, have been realized. This work builds on the know-how in SiC high-voltage device fabrication process technology that was established in the Electrum Cleanroom more than 25 years ago.</w:t>
            </w:r>
          </w:p>
          <w:p w14:paraId="312BF96E" w14:textId="77777777" w:rsidR="00046CF6" w:rsidRDefault="3141DCD1" w:rsidP="00046CF6">
            <w:pPr>
              <w:spacing w:after="120"/>
              <w:rPr>
                <w:color w:val="000000"/>
                <w:lang w:val="en-US"/>
              </w:rPr>
            </w:pPr>
            <w:r w:rsidRPr="3141DCD1">
              <w:rPr>
                <w:color w:val="000000" w:themeColor="text1"/>
                <w:lang w:val="en-US"/>
              </w:rPr>
              <w:t xml:space="preserve">The group has continued to be active in the European nano-electronics community and is one of the few academic institutions worldwide that has an advanced SOI CMOS platform available. This platform facilitates research on 3D integrated circuits and integration of various type of nano-scale sensors for e.g. DNA-detection. Emerging technologies such as 2D-materials (graphene) and spintronic devices are also pursued in this context. </w:t>
            </w:r>
            <w:r w:rsidRPr="3141DCD1">
              <w:rPr>
                <w:color w:val="000000" w:themeColor="text1"/>
                <w:lang w:val="en-US"/>
              </w:rPr>
              <w:lastRenderedPageBreak/>
              <w:t>Fundamental research on fluctuations and variability in emerging device technologies is also a key topic.</w:t>
            </w:r>
          </w:p>
          <w:p w14:paraId="29D8571F" w14:textId="77777777" w:rsidR="00046CF6" w:rsidRDefault="00046CF6" w:rsidP="575DB160">
            <w:pPr>
              <w:rPr>
                <w:lang w:val="en-US"/>
              </w:rPr>
            </w:pPr>
            <w:r w:rsidRPr="575DB160">
              <w:rPr>
                <w:lang w:val="en-US"/>
              </w:rPr>
              <w:t>Our research on custom hardware for high-performance computing is also strong. The track record in network on chip solutions, multi core design, custom ASICs is now resulting in novel concepts for e.g. brain-inspired computing, low power edge and cloud computing solutions etc. Other hardware research includes analog/mixed signal ASICs covering a wide range of applications such as ultra-low power implantable/wearable biosensors, brain interfaces, and multi-source energy harvesters, as well as on emerging technologies. The world’s smallest bio-impedance spectrometer has been demonstrated.</w:t>
            </w:r>
            <w:r>
              <w:rPr>
                <w:rFonts w:ascii="Georgia" w:hAnsi="Georgia"/>
                <w:color w:val="262626"/>
                <w:sz w:val="27"/>
                <w:szCs w:val="27"/>
                <w:shd w:val="clear" w:color="auto" w:fill="FFFFFF"/>
                <w:lang w:val="en-US"/>
              </w:rPr>
              <w:t> </w:t>
            </w:r>
          </w:p>
          <w:p w14:paraId="6B93111B" w14:textId="551CD5EA" w:rsidR="00046CF6" w:rsidRDefault="492E8A79" w:rsidP="575DB160">
            <w:pPr>
              <w:spacing w:after="120"/>
              <w:rPr>
                <w:color w:val="000000"/>
                <w:lang w:val="en-US"/>
              </w:rPr>
            </w:pPr>
            <w:r w:rsidRPr="492E8A79">
              <w:rPr>
                <w:color w:val="000000" w:themeColor="text1"/>
                <w:lang w:val="en-US"/>
              </w:rPr>
              <w:t>Our activity in hardware and cyber security is very timely and is now in an expanding phase with strong industrial backing. In addition, we provide attractive courses in this area.</w:t>
            </w:r>
          </w:p>
          <w:p w14:paraId="040438A4" w14:textId="068BEFA3" w:rsidR="00046CF6" w:rsidRDefault="492E8A79" w:rsidP="00046CF6">
            <w:pPr>
              <w:spacing w:after="120"/>
              <w:rPr>
                <w:color w:val="000000"/>
                <w:lang w:val="en-US"/>
              </w:rPr>
            </w:pPr>
            <w:r w:rsidRPr="492E8A79">
              <w:rPr>
                <w:color w:val="000000" w:themeColor="text1"/>
                <w:lang w:val="en-US"/>
              </w:rPr>
              <w:t>The activity in systematic design of embedded systems software is strong and the formal system design (ForSyDe) platform is explored in co-operation with industrial and academic partners. We are also participating in the CASTOR software research center, where SAAB AB and Ericsson AB are founding partners together with researchers across several departments at KTH.</w:t>
            </w:r>
          </w:p>
          <w:p w14:paraId="1001E79C" w14:textId="068BEFA3" w:rsidR="492E8A79" w:rsidRDefault="492E8A79" w:rsidP="492E8A79">
            <w:pPr>
              <w:spacing w:after="120"/>
              <w:rPr>
                <w:color w:val="000000" w:themeColor="text1"/>
                <w:lang w:val="en-US"/>
              </w:rPr>
            </w:pPr>
          </w:p>
          <w:p w14:paraId="62034EE9" w14:textId="22721CEA" w:rsidR="492E8A79" w:rsidRDefault="492E8A79" w:rsidP="492E8A79">
            <w:pPr>
              <w:rPr>
                <w:rFonts w:cs="Calibri"/>
                <w:szCs w:val="24"/>
                <w:lang w:val="en-US"/>
              </w:rPr>
            </w:pPr>
            <w:r w:rsidRPr="492E8A79">
              <w:rPr>
                <w:rFonts w:cs="Calibri"/>
                <w:szCs w:val="24"/>
                <w:lang w:val="en-US"/>
              </w:rPr>
              <w:t>Electromagnetic Engineering (EME)</w:t>
            </w:r>
          </w:p>
          <w:p w14:paraId="0635729D" w14:textId="50364873" w:rsidR="00F21E88" w:rsidRPr="00F21E88" w:rsidRDefault="492E8A79" w:rsidP="492E8A79">
            <w:pPr>
              <w:spacing w:after="0"/>
              <w:rPr>
                <w:rFonts w:cs="Calibri"/>
              </w:rPr>
            </w:pPr>
            <w:r w:rsidRPr="492E8A79">
              <w:rPr>
                <w:rFonts w:cs="Calibri"/>
              </w:rPr>
              <w:t xml:space="preserve">Our theoretical advances include physical performance bounds on antenna parameters. State-of-the art results have been achieved on pareto-trade off relations between bandwidth and parameters like gain, front-to-back ratio, efficiency, and the size of e.g. an embedded antenna. We also have passivity based bounds on array antennas. This paves the ground for automated design of optimal or near optimal antennas. Here we collaborate in different constellations, both with industry SAAB, Ericsson, Ruag, but also with different research groups including Lund University, Stockholm University and Linnaeus University in Sweden.  </w:t>
            </w:r>
          </w:p>
          <w:p w14:paraId="4B7A990C" w14:textId="0570E13D" w:rsidR="00F21E88" w:rsidRPr="00F21E88" w:rsidRDefault="492E8A79" w:rsidP="492E8A79">
            <w:pPr>
              <w:spacing w:after="0"/>
              <w:rPr>
                <w:rFonts w:cs="Calibri"/>
              </w:rPr>
            </w:pPr>
            <w:r w:rsidRPr="492E8A79">
              <w:rPr>
                <w:rFonts w:cs="Calibri"/>
              </w:rPr>
              <w:t xml:space="preserve"> We also have challenges in the theory of inverse problems, where we have research with applications to diagnostics of devices and components in the electric power grid. For example, condition monitoring of power transformers by means of microwave diagnostics and remote measurements of voltages and currents in power lines.</w:t>
            </w:r>
          </w:p>
          <w:p w14:paraId="394E3B0D" w14:textId="28046BC1" w:rsidR="00F21E88" w:rsidRPr="00F21E88" w:rsidRDefault="492E8A79" w:rsidP="0B3BBCF7">
            <w:pPr>
              <w:spacing w:after="0"/>
              <w:rPr>
                <w:rFonts w:cs="Calibri"/>
              </w:rPr>
            </w:pPr>
            <w:r w:rsidRPr="492E8A79">
              <w:rPr>
                <w:rFonts w:cs="Calibri"/>
              </w:rPr>
              <w:t xml:space="preserve">For optimization and suitability analysis of energy storage systems (ESS) in smart grids a well-founded method of modelling any ESS with an equivalent circuit model has been presented (PhD thesis, Cong-Toan Pham) and is the basis for much activity. In the project STOMP (financed by the Swedish Energy Agency) it has been found that people in Sweden is generally concerned (as in US and much of EU) for the privacy during use of the power profile data from smart meters but also that this can be handled by commercial ESS at reasonable costs. In addition, it has been found that hybrid energy storage systems are in many cases more suitable than single standalone ESS, but it requires evaluation of the intended use and goals of this. In diagnostics and monitoring we have studied novel methods for insulation system diagnostics and contributed to the advancements of partial discharge analysis and dielectric response methods of high </w:t>
            </w:r>
            <w:r w:rsidRPr="492E8A79">
              <w:rPr>
                <w:rFonts w:cs="Calibri"/>
              </w:rPr>
              <w:lastRenderedPageBreak/>
              <w:t xml:space="preserve">voltage power components. Within the area of switching technologies we have contributed to the areas of HVDC circuit breakers. </w:t>
            </w:r>
          </w:p>
          <w:p w14:paraId="093C2576" w14:textId="485CAA8E" w:rsidR="00F21E88" w:rsidRPr="00F21E88" w:rsidRDefault="00F21E88" w:rsidP="492E8A79">
            <w:pPr>
              <w:spacing w:after="0"/>
              <w:rPr>
                <w:rFonts w:cs="Calibri"/>
              </w:rPr>
            </w:pPr>
          </w:p>
          <w:p w14:paraId="311632CB" w14:textId="6DBEA0DF" w:rsidR="06831449" w:rsidRDefault="06831449" w:rsidP="06831449">
            <w:pPr>
              <w:spacing w:after="0"/>
              <w:rPr>
                <w:rFonts w:cs="Calibri"/>
              </w:rPr>
            </w:pPr>
          </w:p>
          <w:p w14:paraId="6375DB22" w14:textId="2A6C2C77" w:rsidR="00F21E88" w:rsidRPr="00F21E88" w:rsidRDefault="06831449" w:rsidP="492E8A79">
            <w:pPr>
              <w:spacing w:after="0"/>
              <w:rPr>
                <w:rFonts w:cs="Calibri"/>
                <w:b/>
                <w:bCs/>
              </w:rPr>
            </w:pPr>
            <w:r w:rsidRPr="06831449">
              <w:rPr>
                <w:rFonts w:cs="Calibri"/>
                <w:lang w:val="en-US"/>
              </w:rPr>
              <w:t>Electric Power and Energy Systems (EPE)</w:t>
            </w:r>
            <w:r w:rsidRPr="06831449">
              <w:rPr>
                <w:rFonts w:cs="Calibri"/>
                <w:b/>
                <w:bCs/>
              </w:rPr>
              <w:t xml:space="preserve"> </w:t>
            </w:r>
          </w:p>
          <w:p w14:paraId="0D6A81C9" w14:textId="08830ABF" w:rsidR="06831449" w:rsidRDefault="06831449" w:rsidP="06831449">
            <w:pPr>
              <w:spacing w:after="0"/>
              <w:rPr>
                <w:rFonts w:cs="Calibri"/>
                <w:b/>
                <w:bCs/>
              </w:rPr>
            </w:pPr>
          </w:p>
          <w:p w14:paraId="1DA27999" w14:textId="45DF595D" w:rsidR="00F21E88" w:rsidRPr="00F21E88" w:rsidRDefault="492E8A79" w:rsidP="6A2D7309">
            <w:pPr>
              <w:spacing w:after="0"/>
              <w:rPr>
                <w:rFonts w:cs="Calibri"/>
              </w:rPr>
            </w:pPr>
            <w:r w:rsidRPr="492E8A79">
              <w:rPr>
                <w:rFonts w:cs="Calibri"/>
              </w:rPr>
              <w:t>The research within Power Systems Operation and Control has led to models and control strategies for large wind farms comprising Double Fed Induction Generators (DFIGs), and study their impact on power systems. A multi-option power flow approach for hybrid AC-MTDC grids and a convex OPF formulation for AC grids with embedded DC networks based on the new Line Flow Based (LFB) variables. A novel approach based on analytical formulation of TSA for suitable placement of series compensators in order to improve both the transient and small signal stability of power system. An OPF model with FACTS devices, compatible with the structure of most real-world electricity markets, whose objective is minimizing wind power spillage. Application of Benders’ decomposition, which allows decomposing the original mixed-integer and non-linear ac-UC problem to (i) a mixed integer linear master problem, and (ii) a set of non-linear, but continuous subproblems. DC voltage control algorithms based on MAS. These methods may rely on either local information or a combination of local and remote data. A sliding-mode control for VSC-MTDC system. Different methods that estimate the inertia of a power system. A new methodology for short-term RAS assessment. The coupling between the short-term RAS and voltage stability has been established by introducing and defining the concept of Voltage Impasse Regions (V IR). Integrating the power electronics and the corresponding electric machine into a single, compact unit means several advantages in terms of packaging and reduction of electromagnetic interference. Researchers from the Electrical Machines and Drives and the Power Electronics research groups have been investigating the potentials and limits of an integrated electric drive comprising of a number of series connected, low voltage, three-phase converter bridges. Both machine design and power electronic aspects have been taken into consideration and several experimental prototypes have been realized. Results have been presented in three doctoral theses and several journal papers. The overall aim has been to present a technology able to realize an integrated electric drive that, by far, exceeds today’s state-of-the art. The work has received international attention in terms of citations where one citing paper has identified the considered converter topology as the one that can reach the highest power densities making it suitable for More Electric Aircraft applications.</w:t>
            </w:r>
          </w:p>
          <w:p w14:paraId="7D1FB167" w14:textId="17370F61" w:rsidR="00F21E88" w:rsidRPr="00F21E88" w:rsidRDefault="3AF71CF5" w:rsidP="3AF71CF5">
            <w:pPr>
              <w:spacing w:after="0"/>
              <w:rPr>
                <w:rFonts w:cs="Calibri"/>
              </w:rPr>
            </w:pPr>
            <w:r w:rsidRPr="3AF71CF5">
              <w:rPr>
                <w:rFonts w:cs="Calibri"/>
              </w:rPr>
              <w:t>An interesting collaboration between the fields of applied electrochemistry and electric drives with Scania AB as industrial partner resulted in a year-long experimental aging study of large, prismatic lithium-ion cells clearly demonstrate that AC harmonics (ripple) do not directly affect aging negatively.</w:t>
            </w:r>
          </w:p>
          <w:p w14:paraId="43E5BFEB" w14:textId="4F4BE5D1" w:rsidR="00F21E88" w:rsidRPr="00F21E88" w:rsidRDefault="492E8A79" w:rsidP="492E8A79">
            <w:pPr>
              <w:spacing w:after="0"/>
              <w:rPr>
                <w:rFonts w:cs="Calibri"/>
              </w:rPr>
            </w:pPr>
            <w:r w:rsidRPr="492E8A79">
              <w:rPr>
                <w:rFonts w:cs="Calibri"/>
              </w:rPr>
              <w:t>The power electronics group was one of the first research groups in the world to take on research on modular multilevel converters (MMCs). The group has made important contributions in both main-circuit designs and control of MMCs. The power electronics group has also been one the most active research groups in the world in SiC power electronics. The activities have been on main-circuit design, gate-driver design, packaging, and reliability. In 2014, three of the academic staff were responsible for a special issue on WBG power electronics in IEEE Transactions on Power Electronics.</w:t>
            </w:r>
          </w:p>
          <w:p w14:paraId="60006BD1" w14:textId="77777777" w:rsidR="00F21E88" w:rsidRPr="00F21E88" w:rsidRDefault="00F21E88" w:rsidP="06831449">
            <w:pPr>
              <w:spacing w:after="0"/>
              <w:rPr>
                <w:rFonts w:cs="Calibri"/>
              </w:rPr>
            </w:pPr>
          </w:p>
          <w:p w14:paraId="5DDAE9FF" w14:textId="4B2675AA" w:rsidR="06831449" w:rsidRDefault="06831449" w:rsidP="06831449">
            <w:pPr>
              <w:spacing w:after="0"/>
              <w:rPr>
                <w:rFonts w:cs="Calibri"/>
              </w:rPr>
            </w:pPr>
          </w:p>
          <w:p w14:paraId="0B351BC7" w14:textId="2ACB5228" w:rsidR="00F21E88" w:rsidRPr="00F21E88" w:rsidRDefault="06831449" w:rsidP="492E8A79">
            <w:pPr>
              <w:spacing w:after="0"/>
              <w:rPr>
                <w:rFonts w:cs="Calibri"/>
              </w:rPr>
            </w:pPr>
            <w:r w:rsidRPr="06831449">
              <w:rPr>
                <w:rFonts w:cs="Calibri"/>
              </w:rPr>
              <w:t>Fusion Plasma Physics (FPP)</w:t>
            </w:r>
          </w:p>
          <w:p w14:paraId="532E8405" w14:textId="57181D80" w:rsidR="06831449" w:rsidRDefault="06831449" w:rsidP="06831449">
            <w:pPr>
              <w:spacing w:after="0"/>
              <w:rPr>
                <w:rFonts w:cs="Calibri"/>
              </w:rPr>
            </w:pPr>
          </w:p>
          <w:p w14:paraId="0F775585" w14:textId="77777777" w:rsidR="00F21E88" w:rsidRPr="00F21E88" w:rsidRDefault="00F21E88" w:rsidP="00F21E88">
            <w:pPr>
              <w:spacing w:after="0"/>
              <w:rPr>
                <w:rFonts w:cs="Calibri"/>
                <w:iCs/>
                <w:szCs w:val="24"/>
              </w:rPr>
            </w:pPr>
            <w:r w:rsidRPr="00F21E88">
              <w:rPr>
                <w:rFonts w:cs="Calibri"/>
                <w:iCs/>
                <w:szCs w:val="24"/>
              </w:rPr>
              <w:t>The research on tokamak confinement has contributed to a significant development in the understanding of the high-confinement mode pedestal in tokamaks. A key open issue for JET and ITER is the understanding of the effect of a metal wall on the pedestal pressure. The research team has experimentally identified a new plasma parameter that plays a key role in determining the pedestal stability; the relative shift between the position of pedestal density and pedestal temperature. The effect of the relative shift has been studied both experimentally, with Thomson Scattering data, and theoretically, with the ELITE code. It is now clear that the relative shift increases with higher recycling and fuelling producing detrimental effects on the pedestal.</w:t>
            </w:r>
          </w:p>
          <w:p w14:paraId="701899F1" w14:textId="77777777" w:rsidR="00F21E88" w:rsidRPr="00F21E88" w:rsidRDefault="06831449" w:rsidP="06831449">
            <w:pPr>
              <w:spacing w:after="0"/>
              <w:rPr>
                <w:rFonts w:cs="Calibri"/>
              </w:rPr>
            </w:pPr>
            <w:r w:rsidRPr="06831449">
              <w:rPr>
                <w:rFonts w:cs="Calibri"/>
              </w:rPr>
              <w:t xml:space="preserve">Major contributions to the international programme on fusion reactor materials are fourfold: </w:t>
            </w:r>
          </w:p>
          <w:p w14:paraId="1945F537" w14:textId="174FCAEC" w:rsidR="06831449" w:rsidRDefault="06831449" w:rsidP="06831449">
            <w:pPr>
              <w:spacing w:after="0"/>
              <w:rPr>
                <w:rFonts w:cs="Calibri"/>
              </w:rPr>
            </w:pPr>
          </w:p>
          <w:p w14:paraId="7AD6AF74" w14:textId="5A7AFD8B" w:rsidR="00F21E88" w:rsidRPr="00D3501C" w:rsidRDefault="13264B1B" w:rsidP="003A09D8">
            <w:pPr>
              <w:pStyle w:val="ListParagraph"/>
              <w:numPr>
                <w:ilvl w:val="0"/>
                <w:numId w:val="4"/>
              </w:numPr>
              <w:rPr>
                <w:rFonts w:ascii="Calibri" w:eastAsia="Calibri" w:hAnsi="Calibri" w:cs="Calibri"/>
                <w:lang w:val="en-US"/>
              </w:rPr>
            </w:pPr>
            <w:r w:rsidRPr="13264B1B">
              <w:rPr>
                <w:rFonts w:ascii="Calibri" w:eastAsia="Calibri" w:hAnsi="Calibri" w:cs="Calibri"/>
                <w:lang w:val="en-US"/>
              </w:rPr>
              <w:t xml:space="preserve">Research leading to decisions on reactor components: choice of ITER wall and divertor materials with significant cost saving (~300 MEUR) </w:t>
            </w:r>
          </w:p>
          <w:p w14:paraId="1915ED8E" w14:textId="111F7A87" w:rsidR="00F21E88" w:rsidRPr="00D3501C" w:rsidRDefault="13264B1B" w:rsidP="003A09D8">
            <w:pPr>
              <w:pStyle w:val="ListParagraph"/>
              <w:numPr>
                <w:ilvl w:val="0"/>
                <w:numId w:val="4"/>
              </w:numPr>
              <w:rPr>
                <w:rFonts w:ascii="Calibri" w:eastAsia="Calibri" w:hAnsi="Calibri" w:cs="Calibri"/>
                <w:lang w:val="en-US"/>
              </w:rPr>
            </w:pPr>
            <w:r w:rsidRPr="13264B1B">
              <w:rPr>
                <w:rFonts w:ascii="Calibri" w:eastAsia="Calibri" w:hAnsi="Calibri" w:cs="Calibri"/>
                <w:lang w:val="en-US"/>
              </w:rPr>
              <w:t>Coordination of projects on international level (leadership in EUROfusion and F4E)</w:t>
            </w:r>
          </w:p>
          <w:p w14:paraId="7947102A" w14:textId="22D091BD" w:rsidR="00F21E88" w:rsidRPr="00D3501C" w:rsidRDefault="13264B1B" w:rsidP="003A09D8">
            <w:pPr>
              <w:pStyle w:val="ListParagraph"/>
              <w:numPr>
                <w:ilvl w:val="0"/>
                <w:numId w:val="4"/>
              </w:numPr>
              <w:rPr>
                <w:rFonts w:ascii="Calibri" w:eastAsia="Calibri" w:hAnsi="Calibri" w:cs="Calibri"/>
                <w:lang w:val="en-US"/>
              </w:rPr>
            </w:pPr>
            <w:r w:rsidRPr="13264B1B">
              <w:rPr>
                <w:rFonts w:ascii="Calibri" w:eastAsia="Calibri" w:hAnsi="Calibri" w:cs="Calibri"/>
                <w:lang w:val="en-US"/>
              </w:rPr>
              <w:t>Development and implementation of analytical tools and diagnostic systems</w:t>
            </w:r>
          </w:p>
          <w:p w14:paraId="36440236" w14:textId="5B4D1243" w:rsidR="00F21E88" w:rsidRPr="00F21E88" w:rsidRDefault="13264B1B" w:rsidP="003A09D8">
            <w:pPr>
              <w:pStyle w:val="ListParagraph"/>
              <w:numPr>
                <w:ilvl w:val="0"/>
                <w:numId w:val="4"/>
              </w:numPr>
              <w:rPr>
                <w:rFonts w:ascii="Calibri" w:eastAsia="Calibri" w:hAnsi="Calibri" w:cs="Calibri"/>
                <w:lang w:val="en-US"/>
              </w:rPr>
            </w:pPr>
            <w:r w:rsidRPr="13264B1B">
              <w:rPr>
                <w:rFonts w:ascii="Calibri" w:eastAsia="Calibri" w:hAnsi="Calibri" w:cs="Calibri"/>
                <w:lang w:val="en-US"/>
              </w:rPr>
              <w:t>Education by courses, Ph.D., tutorials at topical schools and tutorial overview articles</w:t>
            </w:r>
          </w:p>
          <w:p w14:paraId="6A159B45" w14:textId="77777777" w:rsidR="00F21E88" w:rsidRPr="00F21E88" w:rsidRDefault="00F21E88" w:rsidP="00F21E88">
            <w:pPr>
              <w:spacing w:after="0"/>
              <w:rPr>
                <w:rFonts w:cs="Calibri"/>
                <w:iCs/>
                <w:szCs w:val="24"/>
              </w:rPr>
            </w:pPr>
          </w:p>
          <w:p w14:paraId="59F2951C" w14:textId="77777777" w:rsidR="00F21E88" w:rsidRPr="00F21E88" w:rsidRDefault="00F21E88" w:rsidP="00F21E88">
            <w:pPr>
              <w:spacing w:after="0"/>
              <w:rPr>
                <w:rFonts w:cs="Calibri"/>
                <w:iCs/>
                <w:szCs w:val="24"/>
              </w:rPr>
            </w:pPr>
            <w:r w:rsidRPr="00F21E88">
              <w:rPr>
                <w:rFonts w:cs="Calibri"/>
                <w:iCs/>
                <w:szCs w:val="24"/>
              </w:rPr>
              <w:t>The research on magnetohydrodynamic (MHD) mode control has benefitted greatly from the inter-disciplinary collaboration with scientists working in the automatic control area. The development of the model-based control strategy for Resistive Wall Mode (RWM) stabilization is an example of advancement of the field of MHD control, resulting from this cross-disciplinary character of the research. The collaboration has also promoted the transfer of knowledge in the other direction through presentations of fusion applications at control conferences.</w:t>
            </w:r>
          </w:p>
          <w:p w14:paraId="4A4F345B" w14:textId="59AFC6CC" w:rsidR="00F21E88" w:rsidRPr="00F21E88" w:rsidRDefault="05EA6DE4" w:rsidP="05EA6DE4">
            <w:pPr>
              <w:spacing w:after="0"/>
              <w:rPr>
                <w:rFonts w:cs="Calibri"/>
              </w:rPr>
            </w:pPr>
            <w:r w:rsidRPr="05EA6DE4">
              <w:rPr>
                <w:rFonts w:cs="Calibri"/>
              </w:rPr>
              <w:t>Computational modelling of fusion plasmas faces a difficult challenge. Multiple plasma physical timescales, reaching from nanoseconds (particle gyration) to microseconds (magnetohydrodynamic instabilities and turbulence) to milliseconds (resistive instabilities) to seconds (energy and particle transport) prevent efficient analytical and numerical modelling. We have developed a time-spectral initial-value method (GWRM), where the physical variables are expanded not only in the spatial but also in the temporal domains by Chebyshev polynomials. The GWRM has proven efficient in a number of applications: Presently, tokamak plasma turbulence is studied and we have for the first time been able to solve the kinetic Vlasov-Poisson systems of equations using this method.</w:t>
            </w:r>
          </w:p>
          <w:p w14:paraId="5B985116" w14:textId="77777777" w:rsidR="00F21E88" w:rsidRPr="00F21E88" w:rsidRDefault="0B3BBCF7" w:rsidP="0B3BBCF7">
            <w:pPr>
              <w:spacing w:after="0"/>
              <w:rPr>
                <w:rFonts w:cs="Calibri"/>
              </w:rPr>
            </w:pPr>
            <w:r w:rsidRPr="0B3BBCF7">
              <w:rPr>
                <w:rFonts w:cs="Calibri"/>
              </w:rPr>
              <w:t xml:space="preserve">The research team focusing on radio frequency heating has recently been developing a new generation of quantitative tools for modelling ion cyclotron resonance frequency (ICRF) heating including FEMIC and RFOF, with the long-term goal of contributing to the ITER experimental program and the design of DEMO. These tools have enabled a first ever assessment of the importance of poloidal phasing of the ITER radio frequency (RF) antennas on the plasma heating and quantitative benchmark against third harmonic ICRF heating in JET. The group also contribute with state-of-the-art RF modelling at the European tokamaks JET and ASDEX-Upgrade. Detailed SELFO modelling the distributions </w:t>
            </w:r>
            <w:r w:rsidRPr="0B3BBCF7">
              <w:rPr>
                <w:rFonts w:cs="Calibri"/>
              </w:rPr>
              <w:lastRenderedPageBreak/>
              <w:t>functions of fast ions have been important in explaining both observations of enhanced confinement as a non-linear fast-ion stabilization of plasma turbulence and the impact of fast ions on the stability of MHD modes like sawteeth, Toroidal Alfvén Eigenmodes (TAEs) and Geodesic Acoustic Modes (GAMs). A novel three-ion Neutral Beam Injection (NBI) scenario for ICRF heating was developed in collaboration with Y. Kazakov.</w:t>
            </w:r>
          </w:p>
          <w:p w14:paraId="096A5FDB" w14:textId="52BBDBDA" w:rsidR="0B3BBCF7" w:rsidRDefault="0B3BBCF7" w:rsidP="0B3BBCF7">
            <w:pPr>
              <w:spacing w:after="0"/>
              <w:rPr>
                <w:rFonts w:cs="Calibri"/>
              </w:rPr>
            </w:pPr>
          </w:p>
          <w:p w14:paraId="76C9A8B0" w14:textId="625609FC" w:rsidR="06831449" w:rsidRDefault="06831449" w:rsidP="06831449">
            <w:pPr>
              <w:spacing w:after="0"/>
              <w:rPr>
                <w:rFonts w:cs="Calibri"/>
              </w:rPr>
            </w:pPr>
          </w:p>
          <w:p w14:paraId="7D6BA483" w14:textId="2690983C" w:rsidR="00F21E88" w:rsidRPr="00F21E88" w:rsidRDefault="06831449" w:rsidP="492E8A79">
            <w:pPr>
              <w:spacing w:after="0"/>
              <w:rPr>
                <w:rFonts w:cs="Calibri"/>
              </w:rPr>
            </w:pPr>
            <w:r w:rsidRPr="06831449">
              <w:rPr>
                <w:rFonts w:cs="Calibri"/>
              </w:rPr>
              <w:t>Space Plasma Physics (SPP)</w:t>
            </w:r>
          </w:p>
          <w:p w14:paraId="7CB64098" w14:textId="0DE39F12" w:rsidR="06831449" w:rsidRDefault="06831449" w:rsidP="06831449">
            <w:pPr>
              <w:spacing w:after="0"/>
              <w:rPr>
                <w:rFonts w:cs="Calibri"/>
              </w:rPr>
            </w:pPr>
          </w:p>
          <w:p w14:paraId="25932888" w14:textId="77777777" w:rsidR="00F21E88" w:rsidRPr="00F21E88" w:rsidRDefault="00F21E88" w:rsidP="00F21E88">
            <w:pPr>
              <w:spacing w:after="0"/>
              <w:rPr>
                <w:rFonts w:cs="Calibri"/>
                <w:iCs/>
                <w:szCs w:val="24"/>
              </w:rPr>
            </w:pPr>
            <w:r w:rsidRPr="00F21E88">
              <w:rPr>
                <w:rFonts w:cs="Calibri"/>
                <w:iCs/>
                <w:szCs w:val="24"/>
              </w:rPr>
              <w:t>Hardware. Contribution to experimental instruments on major international space missions - NASA MMS, ESA/JAXA Bepi Colombo, ESA Solar Orbiter, ESA JUICE. Development of rocket experiments including free flying units allowing multipoint measurements in the ionosphere and multi-point measurements of the upper atmosphere (Spider-1, Spider-2).</w:t>
            </w:r>
          </w:p>
          <w:p w14:paraId="1986B576" w14:textId="77777777" w:rsidR="00F21E88" w:rsidRPr="00F21E88" w:rsidRDefault="00F21E88" w:rsidP="00F21E88">
            <w:pPr>
              <w:spacing w:after="0"/>
              <w:rPr>
                <w:rFonts w:cs="Calibri"/>
                <w:iCs/>
                <w:szCs w:val="24"/>
              </w:rPr>
            </w:pPr>
            <w:r w:rsidRPr="00F21E88">
              <w:rPr>
                <w:rFonts w:cs="Calibri"/>
                <w:iCs/>
                <w:szCs w:val="24"/>
              </w:rPr>
              <w:t>Data. Responsible for Scandinavian Cluster Data Center, contribution to the production of ESA Cluster EFW instrument dataset. Lead Co-I on NASA MMS FIELDS instrument with contribution to operations and production of the E-field measurement data sets.</w:t>
            </w:r>
          </w:p>
          <w:p w14:paraId="5FEC315A" w14:textId="77777777" w:rsidR="00F21E88" w:rsidRPr="00F21E88" w:rsidRDefault="00F21E88" w:rsidP="00F21E88">
            <w:pPr>
              <w:spacing w:after="0"/>
              <w:rPr>
                <w:rFonts w:cs="Calibri"/>
                <w:iCs/>
                <w:szCs w:val="24"/>
              </w:rPr>
            </w:pPr>
            <w:r w:rsidRPr="00F21E88">
              <w:rPr>
                <w:rFonts w:cs="Calibri"/>
                <w:iCs/>
                <w:szCs w:val="24"/>
              </w:rPr>
              <w:t>Research. Major contributions have been done to the understanding of formation mechanisms of different types of polar arcs, such as bending arc formation due to dayside reconnection, and their statistical dependence on different solar wind conditions. Another major advance has been in characterizing the physical properties of magnetosheath jets and plasmoids, and distinguishing which types are driven by solar wind and which by the bow shock processes. Finally, major discoveries have been achieved characterizing the atmospheres of the outer planet moons using telescope data. For example, it has been possible to put limits on the presence of water plumes in the Europa's atmosphere.</w:t>
            </w:r>
          </w:p>
          <w:p w14:paraId="032E4076" w14:textId="77777777" w:rsidR="00F21E88" w:rsidRPr="00F21E88" w:rsidRDefault="06831449" w:rsidP="06831449">
            <w:pPr>
              <w:spacing w:after="0"/>
              <w:rPr>
                <w:rFonts w:cs="Calibri"/>
                <w:i/>
                <w:iCs/>
              </w:rPr>
            </w:pPr>
            <w:r w:rsidRPr="06831449">
              <w:rPr>
                <w:rFonts w:cs="Calibri"/>
                <w:i/>
                <w:iCs/>
              </w:rPr>
              <w:t>Complex Plasma group</w:t>
            </w:r>
          </w:p>
          <w:p w14:paraId="206B9E86" w14:textId="05CE9828" w:rsidR="00F21E88" w:rsidRPr="00F21E88" w:rsidRDefault="492E8A79" w:rsidP="6A2D7309">
            <w:pPr>
              <w:spacing w:after="0"/>
              <w:rPr>
                <w:rFonts w:cs="Calibri"/>
              </w:rPr>
            </w:pPr>
            <w:r w:rsidRPr="492E8A79">
              <w:rPr>
                <w:rFonts w:cs="Calibri"/>
              </w:rPr>
              <w:t>MIGRAINe is a unique, inhouse developed, dust dynamics code that encompasses all aspects of dust-plasma and dust-vessel interactions that are relevant for dust transport and survival in contemporary as well as future fusion devices, with a particular focus on the plasma regimes of the ITER reactor. MIGRAINe features state-of-the-art analytical models that describe charge, momentum, energy and mass transfer as a result of plasma absorption, electron-induced electron emission, ion-induced electron emission, sputtering, ion surface neutralization, thermionic emission, radiation absorption / emission and vaporization. MIGRAINe also features a comprehensive description of mechanical dust wall collisions. This simulation tool revealed the importance of the microphysics of electron/ion absorption in dust survival and the central role of mechanical impacts in the long-distance transport of dust in tokamaks. It is employed as a predictive tool of dust accumulation sites in ITER.</w:t>
            </w:r>
          </w:p>
          <w:p w14:paraId="047AC939" w14:textId="69DD9EE7" w:rsidR="00F21E88" w:rsidRPr="00F21E88" w:rsidRDefault="00F21E88" w:rsidP="00F21E88">
            <w:pPr>
              <w:spacing w:after="0"/>
              <w:rPr>
                <w:rFonts w:cs="Calibri"/>
                <w:iCs/>
                <w:szCs w:val="24"/>
              </w:rPr>
            </w:pPr>
            <w:r w:rsidRPr="00F21E88">
              <w:rPr>
                <w:rFonts w:cs="Calibri"/>
                <w:iCs/>
                <w:szCs w:val="24"/>
              </w:rPr>
              <w:t xml:space="preserve">MEMOS-U is another unique inhouse developed macroscopic melt motion code that quantifies material damage during fast transient tokamak events (edge localized modes, major disruptions, vertical displacement events) and is currently being employed as a main prediction tool for ITER wall deformation. The physics model of the MEMOS-U code is based on the incompressible resistive thermoelectric magnetohydrodynamic equations (TEMHD) and the heat convection-diffusion equation. The code accounts for the liquid-solid phase transition and solves the magnetostatic limit of the TEMHD system of equations within the shallow water approximation by employing the finite difference </w:t>
            </w:r>
            <w:r w:rsidRPr="00F21E88">
              <w:rPr>
                <w:rFonts w:cs="Calibri"/>
                <w:iCs/>
                <w:szCs w:val="24"/>
              </w:rPr>
              <w:lastRenderedPageBreak/>
              <w:t>method on a rectilinear grid. MEMOS-U was recently updated with a self-consistent replacement current module and an analytical model of space-charge limited emission based on dedicated particle-in-cell simulations. The solvers were modified in order to accommodate metallic melt motion onto adjacent solid surfaces. This version was successfully benchmarked against dedicated experiments carried out in JET and AUG. The results revealed that liquid metal motion fell under an unexplored novel regime, in which the dynamics are essentially governed by re-solidification.</w:t>
            </w:r>
          </w:p>
          <w:p w14:paraId="7625E10D" w14:textId="77777777" w:rsidR="00F21E88" w:rsidRPr="0044157D" w:rsidRDefault="00F21E88" w:rsidP="00F21E88">
            <w:pPr>
              <w:spacing w:after="0"/>
              <w:rPr>
                <w:rFonts w:cs="Calibri"/>
                <w:b/>
                <w:iCs/>
                <w:szCs w:val="24"/>
              </w:rPr>
            </w:pPr>
          </w:p>
          <w:p w14:paraId="7BE7E4B5" w14:textId="77777777" w:rsidR="000D6B05" w:rsidRPr="0044157D" w:rsidRDefault="000D6B05" w:rsidP="00910D79">
            <w:pPr>
              <w:spacing w:after="120"/>
              <w:rPr>
                <w:rFonts w:cs="Calibri"/>
                <w:w w:val="105"/>
                <w:szCs w:val="24"/>
              </w:rPr>
            </w:pPr>
            <w:r w:rsidRPr="3AF71CF5">
              <w:rPr>
                <w:rFonts w:cs="Calibri"/>
                <w:b/>
                <w:bCs/>
              </w:rPr>
              <w:t>d.</w:t>
            </w:r>
            <w:r w:rsidRPr="3AF71CF5">
              <w:rPr>
                <w:rFonts w:cs="Calibri"/>
              </w:rPr>
              <w:t xml:space="preserve"> </w:t>
            </w:r>
            <w:r w:rsidRPr="3AF71CF5">
              <w:rPr>
                <w:rFonts w:cs="Calibri"/>
                <w:i/>
                <w:iCs/>
                <w:w w:val="105"/>
              </w:rPr>
              <w:t>Quality and quantity of contributions</w:t>
            </w:r>
            <w:r w:rsidRPr="3AF71CF5">
              <w:rPr>
                <w:rFonts w:cs="Calibri"/>
                <w:i/>
                <w:iCs/>
                <w:spacing w:val="-29"/>
                <w:w w:val="105"/>
              </w:rPr>
              <w:t xml:space="preserve"> </w:t>
            </w:r>
            <w:r w:rsidRPr="3AF71CF5">
              <w:rPr>
                <w:rFonts w:cs="Calibri"/>
                <w:i/>
                <w:iCs/>
                <w:w w:val="105"/>
              </w:rPr>
              <w:t>to</w:t>
            </w:r>
            <w:r w:rsidRPr="3AF71CF5">
              <w:rPr>
                <w:rFonts w:cs="Calibri"/>
                <w:i/>
                <w:iCs/>
                <w:spacing w:val="-18"/>
                <w:w w:val="105"/>
              </w:rPr>
              <w:t xml:space="preserve"> </w:t>
            </w:r>
            <w:r w:rsidRPr="3AF71CF5">
              <w:rPr>
                <w:rFonts w:cs="Calibri"/>
                <w:i/>
                <w:iCs/>
                <w:w w:val="105"/>
              </w:rPr>
              <w:t>the</w:t>
            </w:r>
            <w:r w:rsidRPr="3AF71CF5">
              <w:rPr>
                <w:rFonts w:cs="Calibri"/>
                <w:i/>
                <w:iCs/>
                <w:spacing w:val="-18"/>
                <w:w w:val="105"/>
              </w:rPr>
              <w:t xml:space="preserve"> </w:t>
            </w:r>
            <w:r w:rsidRPr="3AF71CF5">
              <w:rPr>
                <w:rFonts w:cs="Calibri"/>
                <w:i/>
                <w:iCs/>
                <w:w w:val="105"/>
              </w:rPr>
              <w:t>body</w:t>
            </w:r>
            <w:r w:rsidRPr="3AF71CF5">
              <w:rPr>
                <w:rFonts w:cs="Calibri"/>
                <w:i/>
                <w:iCs/>
                <w:spacing w:val="-18"/>
                <w:w w:val="105"/>
              </w:rPr>
              <w:t xml:space="preserve"> </w:t>
            </w:r>
            <w:r w:rsidRPr="3AF71CF5">
              <w:rPr>
                <w:rFonts w:cs="Calibri"/>
                <w:i/>
                <w:iCs/>
                <w:w w:val="105"/>
              </w:rPr>
              <w:t>of</w:t>
            </w:r>
            <w:r w:rsidRPr="3AF71CF5">
              <w:rPr>
                <w:rFonts w:cs="Calibri"/>
                <w:i/>
                <w:iCs/>
                <w:spacing w:val="-18"/>
                <w:w w:val="105"/>
              </w:rPr>
              <w:t xml:space="preserve"> </w:t>
            </w:r>
            <w:r w:rsidRPr="3AF71CF5">
              <w:rPr>
                <w:rFonts w:cs="Calibri"/>
                <w:i/>
                <w:iCs/>
                <w:w w:val="105"/>
              </w:rPr>
              <w:t>scientific</w:t>
            </w:r>
            <w:r w:rsidRPr="3AF71CF5">
              <w:rPr>
                <w:rFonts w:cs="Calibri"/>
                <w:i/>
                <w:iCs/>
                <w:spacing w:val="-18"/>
                <w:w w:val="105"/>
              </w:rPr>
              <w:t xml:space="preserve"> </w:t>
            </w:r>
            <w:r w:rsidRPr="3AF71CF5">
              <w:rPr>
                <w:rFonts w:cs="Calibri"/>
                <w:i/>
                <w:iCs/>
                <w:w w:val="105"/>
              </w:rPr>
              <w:t>knowledge</w:t>
            </w:r>
            <w:r w:rsidRPr="3AF71CF5">
              <w:rPr>
                <w:rFonts w:cs="Calibri"/>
                <w:w w:val="105"/>
              </w:rPr>
              <w:t xml:space="preserve"> </w:t>
            </w:r>
          </w:p>
          <w:p w14:paraId="1847B095" w14:textId="78A03071" w:rsidR="009C6ED2" w:rsidRDefault="009C6ED2" w:rsidP="708C6F57">
            <w:pPr>
              <w:spacing w:after="0"/>
              <w:rPr>
                <w:rFonts w:cs="Calibri"/>
                <w:w w:val="105"/>
                <w:lang w:val="en-US"/>
              </w:rPr>
            </w:pPr>
          </w:p>
          <w:p w14:paraId="0D3C1695" w14:textId="7C42F48F" w:rsidR="6A2D7309" w:rsidRDefault="492E8A79" w:rsidP="6A2D7309">
            <w:pPr>
              <w:spacing w:after="0"/>
              <w:rPr>
                <w:rFonts w:cs="Calibri"/>
                <w:lang w:val="en-US"/>
              </w:rPr>
            </w:pPr>
            <w:r w:rsidRPr="492E8A79">
              <w:rPr>
                <w:rFonts w:cs="Calibri"/>
                <w:lang w:val="en-US"/>
              </w:rPr>
              <w:t xml:space="preserve">The EE department has generated more than 3750 publications in the evaluation period. A relatively large fraction 25% has appeared in either IEEE journals (367) or proceedings of IEEE sponsored conferences (544). These numbers indicate that we are targeting relevant journals and venues in the EE domain. About 10% of our publications are in the physics area, mainly in well recognized AIP publications and journals covering plasma physics. Some common keywords in the publication titles are e.g. </w:t>
            </w:r>
            <w:r w:rsidRPr="492E8A79">
              <w:rPr>
                <w:rFonts w:cs="Calibri"/>
                <w:i/>
                <w:iCs/>
                <w:lang w:val="en-US"/>
              </w:rPr>
              <w:t>plasma</w:t>
            </w:r>
            <w:r w:rsidRPr="492E8A79">
              <w:rPr>
                <w:rFonts w:cs="Calibri"/>
                <w:lang w:val="en-US"/>
              </w:rPr>
              <w:t xml:space="preserve"> (385), </w:t>
            </w:r>
            <w:r w:rsidRPr="492E8A79">
              <w:rPr>
                <w:rFonts w:cs="Calibri"/>
                <w:i/>
                <w:iCs/>
                <w:lang w:val="en-US"/>
              </w:rPr>
              <w:t>power</w:t>
            </w:r>
            <w:r w:rsidRPr="492E8A79">
              <w:rPr>
                <w:rFonts w:cs="Calibri"/>
                <w:lang w:val="en-US"/>
              </w:rPr>
              <w:t xml:space="preserve"> (843), c</w:t>
            </w:r>
            <w:r w:rsidRPr="492E8A79">
              <w:rPr>
                <w:rFonts w:cs="Calibri"/>
                <w:i/>
                <w:iCs/>
                <w:lang w:val="en-US"/>
              </w:rPr>
              <w:t>ircuit</w:t>
            </w:r>
            <w:r w:rsidRPr="492E8A79">
              <w:rPr>
                <w:rFonts w:cs="Calibri"/>
                <w:lang w:val="en-US"/>
              </w:rPr>
              <w:t xml:space="preserve"> (120), </w:t>
            </w:r>
            <w:r w:rsidRPr="492E8A79">
              <w:rPr>
                <w:rFonts w:cs="Calibri"/>
                <w:i/>
                <w:iCs/>
                <w:lang w:val="en-US"/>
              </w:rPr>
              <w:t>[semiconductor] device</w:t>
            </w:r>
            <w:r w:rsidRPr="492E8A79">
              <w:rPr>
                <w:rFonts w:cs="Calibri"/>
                <w:lang w:val="en-US"/>
              </w:rPr>
              <w:t xml:space="preserve"> (157).</w:t>
            </w:r>
          </w:p>
          <w:p w14:paraId="01A1BDBF" w14:textId="3111C1FB" w:rsidR="6A2D7309" w:rsidRDefault="6A2D7309" w:rsidP="6A2D7309">
            <w:pPr>
              <w:spacing w:after="0"/>
              <w:rPr>
                <w:rFonts w:cs="Calibri"/>
                <w:lang w:val="en-US"/>
              </w:rPr>
            </w:pPr>
          </w:p>
          <w:p w14:paraId="2234B27C" w14:textId="7BE70FF3" w:rsidR="6A2D7309" w:rsidRDefault="492E8A79" w:rsidP="6A2D7309">
            <w:pPr>
              <w:spacing w:after="0"/>
              <w:rPr>
                <w:rFonts w:cs="Calibri"/>
                <w:lang w:val="en-US"/>
              </w:rPr>
            </w:pPr>
            <w:r w:rsidRPr="492E8A79">
              <w:rPr>
                <w:rFonts w:cs="Calibri"/>
                <w:lang w:val="en-US"/>
              </w:rPr>
              <w:t>The publication output varies slowly over the period but we see one pattern regarding journal vs. conference publications. As shown in Fig. 1, journals are relatively constant while conferences are decreasing. Most likely this can be explained by the move towards high impact publications in the scientific community.</w:t>
            </w:r>
          </w:p>
          <w:p w14:paraId="37BACFEC" w14:textId="029FDB47" w:rsidR="0B3BBCF7" w:rsidRDefault="0B3BBCF7" w:rsidP="00910C05">
            <w:pPr>
              <w:spacing w:after="0"/>
              <w:jc w:val="center"/>
            </w:pPr>
            <w:r>
              <w:rPr>
                <w:noProof/>
                <w:lang w:val="sv-SE" w:eastAsia="sv-SE"/>
              </w:rPr>
              <w:drawing>
                <wp:inline distT="0" distB="0" distL="0" distR="0" wp14:anchorId="2D7CC932" wp14:editId="469BAC58">
                  <wp:extent cx="4542020" cy="2886075"/>
                  <wp:effectExtent l="0" t="0" r="0" b="0"/>
                  <wp:docPr id="1964925267" name="Picture 1964925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cstate="print">
                            <a:extLst>
                              <a:ext uri="{28A0092B-C50C-407E-A947-70E740481C1C}">
                                <a14:useLocalDpi xmlns:a14="http://schemas.microsoft.com/office/drawing/2010/main" val="0"/>
                              </a:ext>
                            </a:extLst>
                          </a:blip>
                          <a:srcRect t="-2693" b="-1"/>
                          <a:stretch/>
                        </pic:blipFill>
                        <pic:spPr bwMode="auto">
                          <a:xfrm>
                            <a:off x="0" y="0"/>
                            <a:ext cx="4542901" cy="2886635"/>
                          </a:xfrm>
                          <a:prstGeom prst="rect">
                            <a:avLst/>
                          </a:prstGeom>
                          <a:ln>
                            <a:noFill/>
                          </a:ln>
                          <a:extLst>
                            <a:ext uri="{53640926-AAD7-44D8-BBD7-CCE9431645EC}">
                              <a14:shadowObscured xmlns:a14="http://schemas.microsoft.com/office/drawing/2010/main"/>
                            </a:ext>
                          </a:extLst>
                        </pic:spPr>
                      </pic:pic>
                    </a:graphicData>
                  </a:graphic>
                </wp:inline>
              </w:drawing>
            </w:r>
          </w:p>
          <w:p w14:paraId="7C2D77D2" w14:textId="13B3DC20" w:rsidR="0B3BBCF7" w:rsidRDefault="492E8A79" w:rsidP="00910C05">
            <w:pPr>
              <w:spacing w:after="0"/>
              <w:jc w:val="center"/>
              <w:rPr>
                <w:rFonts w:cs="Calibri"/>
                <w:lang w:val="en-US"/>
              </w:rPr>
            </w:pPr>
            <w:r w:rsidRPr="492E8A79">
              <w:rPr>
                <w:rFonts w:cs="Calibri"/>
                <w:lang w:val="en-US"/>
              </w:rPr>
              <w:t>Figure 1 Publication trends, journals vs. conference proceedings</w:t>
            </w:r>
          </w:p>
          <w:p w14:paraId="712C3A55" w14:textId="5C761583" w:rsidR="0B3BBCF7" w:rsidRDefault="0B3BBCF7" w:rsidP="492E8A79">
            <w:pPr>
              <w:spacing w:after="0"/>
              <w:rPr>
                <w:rFonts w:cs="Calibri"/>
                <w:lang w:val="en-US"/>
              </w:rPr>
            </w:pPr>
          </w:p>
          <w:p w14:paraId="23D4E3DB" w14:textId="30A1B426" w:rsidR="0B3BBCF7" w:rsidRDefault="492E8A79" w:rsidP="492E8A79">
            <w:pPr>
              <w:spacing w:after="0"/>
              <w:rPr>
                <w:rFonts w:cs="Calibri"/>
                <w:lang w:val="en-US"/>
              </w:rPr>
            </w:pPr>
            <w:r w:rsidRPr="492E8A79">
              <w:rPr>
                <w:rFonts w:cs="Calibri"/>
                <w:lang w:val="en-US"/>
              </w:rPr>
              <w:t>The impact of our published work can be judged from the so-called citation factors for articles (cf) and journals (jcf), see Fig. 2. The EE department as a whole is well above the average 1.0 baseline. The factors are varying and probably a dedicated publication strategy would be needed to achieve an improving trend for the coming period.</w:t>
            </w:r>
          </w:p>
          <w:tbl>
            <w:tblPr>
              <w:tblStyle w:val="TableGrid"/>
              <w:tblW w:w="0" w:type="auto"/>
              <w:tblLook w:val="06A0" w:firstRow="1" w:lastRow="0" w:firstColumn="1" w:lastColumn="0" w:noHBand="1" w:noVBand="1"/>
            </w:tblPr>
            <w:tblGrid>
              <w:gridCol w:w="4359"/>
              <w:gridCol w:w="4359"/>
            </w:tblGrid>
            <w:tr w:rsidR="492E8A79" w14:paraId="27025272" w14:textId="77777777" w:rsidTr="50F906C4">
              <w:tc>
                <w:tcPr>
                  <w:tcW w:w="4319" w:type="dxa"/>
                </w:tcPr>
                <w:p w14:paraId="54622647" w14:textId="7C36F589" w:rsidR="492E8A79" w:rsidRDefault="492E8A79" w:rsidP="492E8A79">
                  <w:pPr>
                    <w:rPr>
                      <w:rFonts w:cs="Calibri"/>
                      <w:lang w:val="en-US"/>
                    </w:rPr>
                  </w:pPr>
                  <w:r>
                    <w:rPr>
                      <w:noProof/>
                      <w:lang w:val="sv-SE" w:eastAsia="sv-SE"/>
                    </w:rPr>
                    <w:lastRenderedPageBreak/>
                    <w:drawing>
                      <wp:inline distT="0" distB="0" distL="0" distR="0" wp14:anchorId="4DA6D69C" wp14:editId="374BA3EB">
                        <wp:extent cx="2647950" cy="1524000"/>
                        <wp:effectExtent l="0" t="0" r="0" b="0"/>
                        <wp:docPr id="567263720" name="Picture 567263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647950" cy="1524000"/>
                                </a:xfrm>
                                <a:prstGeom prst="rect">
                                  <a:avLst/>
                                </a:prstGeom>
                              </pic:spPr>
                            </pic:pic>
                          </a:graphicData>
                        </a:graphic>
                      </wp:inline>
                    </w:drawing>
                  </w:r>
                </w:p>
              </w:tc>
              <w:tc>
                <w:tcPr>
                  <w:tcW w:w="4319" w:type="dxa"/>
                </w:tcPr>
                <w:p w14:paraId="750E8308" w14:textId="5FC3DECA" w:rsidR="492E8A79" w:rsidRDefault="492E8A79" w:rsidP="492E8A79">
                  <w:pPr>
                    <w:rPr>
                      <w:rFonts w:cs="Calibri"/>
                      <w:lang w:val="en-US"/>
                    </w:rPr>
                  </w:pPr>
                  <w:r>
                    <w:rPr>
                      <w:noProof/>
                      <w:lang w:val="sv-SE" w:eastAsia="sv-SE"/>
                    </w:rPr>
                    <w:drawing>
                      <wp:inline distT="0" distB="0" distL="0" distR="0" wp14:anchorId="56EBB5C5" wp14:editId="429AA0B7">
                        <wp:extent cx="2647950" cy="1524000"/>
                        <wp:effectExtent l="0" t="0" r="0" b="0"/>
                        <wp:docPr id="829159357" name="Picture 829159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47950" cy="1524000"/>
                                </a:xfrm>
                                <a:prstGeom prst="rect">
                                  <a:avLst/>
                                </a:prstGeom>
                              </pic:spPr>
                            </pic:pic>
                          </a:graphicData>
                        </a:graphic>
                      </wp:inline>
                    </w:drawing>
                  </w:r>
                </w:p>
              </w:tc>
            </w:tr>
          </w:tbl>
          <w:p w14:paraId="19D279F5" w14:textId="61AE55A0" w:rsidR="0B3BBCF7" w:rsidRDefault="0B3BBCF7" w:rsidP="492E8A79">
            <w:pPr>
              <w:spacing w:after="0"/>
              <w:rPr>
                <w:rFonts w:cs="Calibri"/>
                <w:lang w:val="en-US"/>
              </w:rPr>
            </w:pPr>
          </w:p>
          <w:p w14:paraId="2B5B20B7" w14:textId="3E1E9D8E" w:rsidR="0B3BBCF7" w:rsidRDefault="492E8A79" w:rsidP="492E8A79">
            <w:pPr>
              <w:spacing w:after="0"/>
              <w:rPr>
                <w:rFonts w:cs="Calibri"/>
                <w:lang w:val="en-US"/>
              </w:rPr>
            </w:pPr>
            <w:r w:rsidRPr="492E8A79">
              <w:rPr>
                <w:rFonts w:cs="Calibri"/>
                <w:lang w:val="en-US"/>
              </w:rPr>
              <w:t>Figure 2 Citation factors for articles and journals</w:t>
            </w:r>
          </w:p>
          <w:p w14:paraId="2FB80C1B" w14:textId="34077F8E" w:rsidR="0B3BBCF7" w:rsidRDefault="492E8A79" w:rsidP="0B3BBCF7">
            <w:pPr>
              <w:spacing w:after="0"/>
              <w:rPr>
                <w:rFonts w:cs="Calibri"/>
                <w:lang w:val="en-US"/>
              </w:rPr>
            </w:pPr>
            <w:r w:rsidRPr="492E8A79">
              <w:rPr>
                <w:rFonts w:cs="Calibri"/>
                <w:lang w:val="en-US"/>
              </w:rPr>
              <w:t xml:space="preserve"> </w:t>
            </w:r>
          </w:p>
          <w:p w14:paraId="19F34938" w14:textId="3A1AC749" w:rsidR="1EA70E54" w:rsidRDefault="492E8A79" w:rsidP="1EA70E54">
            <w:pPr>
              <w:spacing w:after="0"/>
              <w:rPr>
                <w:rFonts w:cs="Calibri"/>
                <w:lang w:val="en-US"/>
              </w:rPr>
            </w:pPr>
            <w:r w:rsidRPr="492E8A79">
              <w:rPr>
                <w:rFonts w:cs="Calibri"/>
                <w:lang w:val="en-US"/>
              </w:rPr>
              <w:t xml:space="preserve">Below follow a few selected publications from each division or research field that have been selected among the recent publications and from research areas that are still active or that have contributed to the formulation of new research questions. </w:t>
            </w:r>
          </w:p>
          <w:p w14:paraId="742AF12F" w14:textId="6FC93F55" w:rsidR="1EA70E54" w:rsidRDefault="1EA70E54" w:rsidP="1EA70E54">
            <w:pPr>
              <w:spacing w:after="0"/>
              <w:rPr>
                <w:rFonts w:cs="Calibri"/>
                <w:lang w:val="en-US"/>
              </w:rPr>
            </w:pPr>
          </w:p>
          <w:p w14:paraId="0BAC4CAB" w14:textId="57E635FA" w:rsidR="492E8A79" w:rsidRDefault="492E8A79" w:rsidP="492E8A79">
            <w:pPr>
              <w:spacing w:after="0"/>
              <w:rPr>
                <w:rFonts w:cs="Calibri"/>
                <w:lang w:val="en-US"/>
              </w:rPr>
            </w:pPr>
          </w:p>
          <w:p w14:paraId="7B716D26" w14:textId="1B986EF1" w:rsidR="492E8A79" w:rsidRDefault="492E8A79" w:rsidP="492E8A79">
            <w:pPr>
              <w:spacing w:line="257" w:lineRule="auto"/>
              <w:rPr>
                <w:rFonts w:eastAsia="Calibri" w:cs="Calibri"/>
                <w:szCs w:val="24"/>
                <w:lang w:val="en-US"/>
              </w:rPr>
            </w:pPr>
            <w:r w:rsidRPr="492E8A79">
              <w:rPr>
                <w:rFonts w:eastAsia="Calibri" w:cs="Calibri"/>
                <w:b/>
                <w:bCs/>
                <w:szCs w:val="24"/>
                <w:lang w:val="en-US"/>
              </w:rPr>
              <w:t>EES</w:t>
            </w:r>
            <w:r w:rsidRPr="492E8A79">
              <w:rPr>
                <w:rFonts w:eastAsia="Calibri" w:cs="Calibri"/>
                <w:szCs w:val="24"/>
                <w:lang w:val="en-US"/>
              </w:rPr>
              <w:t xml:space="preserve"> has a strong publication record in IEEE journals and conferences as well as a strong presence in ACM. Over the last few years, we have targeted high impact and open access journals in a more pro-active manner. Several of our key publications are from emerging areas where more junior faculty are research leaders.</w:t>
            </w:r>
          </w:p>
          <w:p w14:paraId="7402A621" w14:textId="164165BB" w:rsidR="492E8A79" w:rsidRDefault="492E8A79" w:rsidP="492E8A79">
            <w:pPr>
              <w:spacing w:line="257" w:lineRule="auto"/>
              <w:rPr>
                <w:rFonts w:eastAsia="Calibri" w:cs="Calibri"/>
                <w:szCs w:val="24"/>
              </w:rPr>
            </w:pPr>
            <w:r w:rsidRPr="492E8A79">
              <w:rPr>
                <w:rFonts w:eastAsia="Calibri" w:cs="Calibri"/>
                <w:szCs w:val="24"/>
                <w:lang w:val="en-US"/>
              </w:rPr>
              <w:t xml:space="preserve"> Jiantong Li, Fei Ye, Sam Vaziri, Mamoun Muhammed, Max C Lemme, Mikael Östling, ”Efficient inkjet printing of graphene,” Advanced Materials 25, 3985-3992 (2013). </w:t>
            </w:r>
            <w:hyperlink r:id="rId33">
              <w:r w:rsidRPr="492E8A79">
                <w:rPr>
                  <w:rStyle w:val="Hyperlink"/>
                  <w:rFonts w:eastAsia="Calibri" w:cs="Calibri"/>
                  <w:color w:val="0563C1"/>
                  <w:szCs w:val="24"/>
                  <w:lang w:val="en-US"/>
                </w:rPr>
                <w:t>https://doi.org/10.1002/adma.201300361</w:t>
              </w:r>
            </w:hyperlink>
          </w:p>
          <w:p w14:paraId="0CEF9F22" w14:textId="606CBD03" w:rsidR="492E8A79" w:rsidRDefault="492E8A79" w:rsidP="492E8A79">
            <w:pPr>
              <w:spacing w:line="257" w:lineRule="auto"/>
              <w:rPr>
                <w:rFonts w:eastAsia="Calibri" w:cs="Calibri"/>
                <w:szCs w:val="24"/>
                <w:lang w:val="en-US"/>
              </w:rPr>
            </w:pPr>
            <w:r w:rsidRPr="492E8A79">
              <w:rPr>
                <w:rFonts w:eastAsia="Calibri" w:cs="Calibri"/>
                <w:szCs w:val="24"/>
                <w:lang w:val="en-US"/>
              </w:rPr>
              <w:t>One of the first publications on reliable inkjet printing of graphene for electronics</w:t>
            </w:r>
            <w:r w:rsidRPr="492E8A79">
              <w:rPr>
                <w:rFonts w:eastAsia="Calibri" w:cs="Calibri"/>
                <w:i/>
                <w:iCs/>
                <w:szCs w:val="24"/>
                <w:lang w:val="en-US"/>
              </w:rPr>
              <w:t xml:space="preserve"> </w:t>
            </w:r>
            <w:r w:rsidRPr="492E8A79">
              <w:rPr>
                <w:rFonts w:eastAsia="Calibri" w:cs="Calibri"/>
                <w:szCs w:val="24"/>
                <w:lang w:val="en-US"/>
              </w:rPr>
              <w:t>(more than 300 citations)</w:t>
            </w:r>
          </w:p>
          <w:p w14:paraId="0302A4DB" w14:textId="526B974A" w:rsidR="492E8A79" w:rsidRDefault="492E8A79" w:rsidP="492E8A79">
            <w:pPr>
              <w:spacing w:line="257" w:lineRule="auto"/>
              <w:rPr>
                <w:rFonts w:eastAsia="Calibri" w:cs="Calibri"/>
                <w:color w:val="222222"/>
                <w:szCs w:val="24"/>
                <w:lang w:val="en-US"/>
              </w:rPr>
            </w:pPr>
            <w:r w:rsidRPr="492E8A79">
              <w:rPr>
                <w:rFonts w:eastAsia="Calibri" w:cs="Calibri"/>
                <w:color w:val="222222"/>
                <w:szCs w:val="24"/>
                <w:lang w:val="en-US"/>
              </w:rPr>
              <w:t xml:space="preserve"> CM Zetterling, A Hallén, R Hedayati, S Kargarrazi</w:t>
            </w:r>
            <w:r w:rsidRPr="492E8A79">
              <w:rPr>
                <w:rFonts w:eastAsia="Calibri" w:cs="Calibri"/>
                <w:szCs w:val="24"/>
                <w:lang w:val="en-US"/>
              </w:rPr>
              <w:t>, ”Bipolar integrated circuits in SiC for extreme environment operation,”</w:t>
            </w:r>
            <w:r w:rsidRPr="492E8A79">
              <w:rPr>
                <w:rFonts w:eastAsia="Calibri" w:cs="Calibri"/>
                <w:color w:val="222222"/>
                <w:szCs w:val="24"/>
                <w:lang w:val="en-US"/>
              </w:rPr>
              <w:t>Semiconductor Science and Technology, 2017</w:t>
            </w:r>
          </w:p>
          <w:p w14:paraId="50DD11A4" w14:textId="494866B5" w:rsidR="492E8A79" w:rsidRDefault="00AA5BFB" w:rsidP="492E8A79">
            <w:pPr>
              <w:spacing w:line="257" w:lineRule="auto"/>
              <w:rPr>
                <w:rFonts w:eastAsia="Calibri" w:cs="Calibri"/>
                <w:szCs w:val="24"/>
              </w:rPr>
            </w:pPr>
            <w:hyperlink r:id="rId34">
              <w:r w:rsidR="492E8A79" w:rsidRPr="492E8A79">
                <w:rPr>
                  <w:rStyle w:val="Hyperlink"/>
                  <w:rFonts w:eastAsia="Calibri" w:cs="Calibri"/>
                  <w:color w:val="0563C1"/>
                  <w:szCs w:val="24"/>
                  <w:lang w:val="en-US"/>
                </w:rPr>
                <w:t xml:space="preserve">https://doi.org/10.1088/1361-6641/aa59a7 </w:t>
              </w:r>
            </w:hyperlink>
          </w:p>
          <w:p w14:paraId="23409187" w14:textId="135C28B6" w:rsidR="492E8A79" w:rsidRDefault="492E8A79" w:rsidP="492E8A79">
            <w:r w:rsidRPr="492E8A79">
              <w:rPr>
                <w:rFonts w:eastAsia="Calibri" w:cs="Calibri"/>
                <w:sz w:val="22"/>
                <w:lang w:val="en-US"/>
              </w:rPr>
              <w:t>Invited article showing our pioneering work in SiC integrated circuits for extreme environments demonstrating operation at 500 C and radiation hardness.</w:t>
            </w:r>
          </w:p>
          <w:p w14:paraId="1B30B3FE" w14:textId="218D1F70" w:rsidR="492E8A79" w:rsidRPr="00D3501C" w:rsidRDefault="492E8A79" w:rsidP="492E8A79">
            <w:pPr>
              <w:spacing w:line="257" w:lineRule="auto"/>
              <w:rPr>
                <w:rFonts w:eastAsia="Calibri" w:cs="Calibri"/>
                <w:szCs w:val="24"/>
                <w:lang w:val="sv-SE"/>
              </w:rPr>
            </w:pPr>
            <w:r w:rsidRPr="00D3501C">
              <w:rPr>
                <w:rFonts w:eastAsia="Calibri" w:cs="Calibri"/>
                <w:szCs w:val="24"/>
                <w:lang w:val="sv-SE"/>
              </w:rPr>
              <w:t>E. Dubrova, ”Fault-tolerant design,” Springer, 2013</w:t>
            </w:r>
          </w:p>
          <w:p w14:paraId="5AAF18D9" w14:textId="3FB9999C" w:rsidR="492E8A79" w:rsidRDefault="492E8A79" w:rsidP="492E8A79">
            <w:pPr>
              <w:spacing w:line="257" w:lineRule="auto"/>
            </w:pPr>
            <w:r w:rsidRPr="492E8A79">
              <w:rPr>
                <w:rFonts w:eastAsia="Calibri" w:cs="Calibri"/>
                <w:sz w:val="22"/>
                <w:lang w:val="en-US"/>
              </w:rPr>
              <w:t>Widely used and well cited text book (287 citations in Google Scholar). Used by more than 20 professors at various universities.</w:t>
            </w:r>
          </w:p>
          <w:p w14:paraId="50FAF016" w14:textId="08479BB1" w:rsidR="00D3501C" w:rsidRPr="00D3501C" w:rsidRDefault="00D3501C" w:rsidP="492E8A79">
            <w:pPr>
              <w:spacing w:after="0"/>
              <w:rPr>
                <w:rFonts w:cs="Calibri"/>
                <w:bCs/>
                <w:lang w:val="en-US"/>
              </w:rPr>
            </w:pPr>
            <w:r w:rsidRPr="00D3501C">
              <w:rPr>
                <w:rFonts w:cs="Calibri"/>
                <w:bCs/>
                <w:lang w:val="en-US"/>
              </w:rPr>
              <w:t xml:space="preserve">Electric Power and Energy Systems </w:t>
            </w:r>
            <w:r>
              <w:rPr>
                <w:rFonts w:cs="Calibri"/>
                <w:bCs/>
                <w:lang w:val="en-US"/>
              </w:rPr>
              <w:t>(EPE)</w:t>
            </w:r>
          </w:p>
          <w:p w14:paraId="14592DAA" w14:textId="67D77D9D" w:rsidR="492E8A79" w:rsidRPr="00D3501C" w:rsidRDefault="492E8A79" w:rsidP="492E8A79">
            <w:pPr>
              <w:spacing w:after="0"/>
              <w:rPr>
                <w:rFonts w:cs="Calibri"/>
                <w:b/>
                <w:bCs/>
                <w:i/>
                <w:lang w:val="en-US"/>
              </w:rPr>
            </w:pPr>
            <w:r w:rsidRPr="00D3501C">
              <w:rPr>
                <w:rFonts w:cs="Calibri"/>
                <w:bCs/>
                <w:i/>
                <w:lang w:val="en-US"/>
              </w:rPr>
              <w:t>Power electronics</w:t>
            </w:r>
            <w:r w:rsidRPr="00D3501C">
              <w:rPr>
                <w:rFonts w:cs="Calibri"/>
                <w:b/>
                <w:bCs/>
                <w:i/>
                <w:lang w:val="en-US"/>
              </w:rPr>
              <w:t xml:space="preserve"> </w:t>
            </w:r>
          </w:p>
          <w:p w14:paraId="589BFD20" w14:textId="2C8E8363" w:rsidR="009C6ED2" w:rsidRPr="00C16429" w:rsidRDefault="009C6ED2" w:rsidP="492E8A79">
            <w:pPr>
              <w:tabs>
                <w:tab w:val="left" w:pos="625"/>
              </w:tabs>
              <w:rPr>
                <w:rFonts w:cs="Calibri"/>
                <w:w w:val="105"/>
                <w:lang w:val="en-US"/>
              </w:rPr>
            </w:pPr>
            <w:r w:rsidRPr="60497C50">
              <w:rPr>
                <w:rFonts w:cs="Calibri"/>
                <w:w w:val="105"/>
                <w:lang w:val="en-US"/>
              </w:rPr>
              <w:t xml:space="preserve">The power electronics group has been successful in publishing highly cited publications in both the modular multilevel converter (MMC) field and SiC power electronics field. The concerned publications are not just cited in academic papers, but also in patent applications, which testify to their value for applications. One of the most influential papers is the following: </w:t>
            </w:r>
            <w:r w:rsidR="0B3BBCF7" w:rsidRPr="0B3BBCF7">
              <w:rPr>
                <w:rFonts w:cs="Calibri"/>
                <w:lang w:val="en-US"/>
              </w:rPr>
              <w:t xml:space="preserve">K. Ilves, A. Antonopoulos, S. Norrga and H. </w:t>
            </w:r>
            <w:r w:rsidR="0B3BBCF7" w:rsidRPr="0B3BBCF7">
              <w:rPr>
                <w:rFonts w:cs="Calibri"/>
                <w:lang w:val="en-US"/>
              </w:rPr>
              <w:lastRenderedPageBreak/>
              <w:t>Nee, "Steady-State Analysis of Interaction Between Harmonic Components of Arm and Line Quantities of Modular Multilevel Converters," in IEEE Transactions on Power Electronics, vol. 27, no. 1, pp. 57-68, Jan. 2012. (486 citations).</w:t>
            </w:r>
            <w:r w:rsidRPr="60497C50">
              <w:rPr>
                <w:rFonts w:cs="Calibri"/>
                <w:w w:val="105"/>
                <w:lang w:val="en-US"/>
              </w:rPr>
              <w:t xml:space="preserve"> It provides a comprehensive analytical model for explaining the behavior of a modular multilevel converter.  </w:t>
            </w:r>
            <w:r w:rsidR="492E8A79" w:rsidRPr="492E8A79">
              <w:rPr>
                <w:rFonts w:cs="Calibri"/>
              </w:rPr>
              <w:t xml:space="preserve">Three of the academic staff have also contributed to writing a book on MMCs and their control, which to date has been sold in approx. 1000 copies and has been cited more than 330 times: </w:t>
            </w:r>
            <w:r w:rsidR="492E8A79" w:rsidRPr="492E8A79">
              <w:rPr>
                <w:rFonts w:eastAsia="Calibri" w:cs="Calibri"/>
                <w:szCs w:val="24"/>
                <w:lang w:val="en-US"/>
              </w:rPr>
              <w:t>K Sharifabadi, L Harnefors, H-P Nee, S Norrga, R Teodorescu, “Design, control, and application of modular multilevel converters for HVDC transmission systems”, John Wiley &amp; Sons. It is using in teaching at several universities.</w:t>
            </w:r>
          </w:p>
          <w:p w14:paraId="0C3CE8DD" w14:textId="61DE0A4B" w:rsidR="5D345B3A" w:rsidRDefault="492E8A79" w:rsidP="5D345B3A">
            <w:r w:rsidRPr="492E8A79">
              <w:rPr>
                <w:rFonts w:eastAsia="Calibri" w:cs="Calibri"/>
                <w:color w:val="000000" w:themeColor="text1"/>
                <w:szCs w:val="24"/>
                <w:lang w:val="en-US"/>
              </w:rPr>
              <w:t>During the period 2012-2019, the paper receiving the highest number of citations from the Electrical Machines and Drives research group (68 citations) is S. Nategh, S. Zhao, A. Krings, O. Wallmark, and M. Leksell “Thermal modeling of directly cooled electric machines using lumped parameter and limited CFD analysis,” IEEE Transactions on Energy Conversion, vol. 28, no. 4, pp. 979-990, 2013. In the paper, focus is put on to what extent the axial heat transfer must be considered for an accurate prediction of hot-spot temperatures in automotive electric machinery. The prototype used in the experimental evaluation was realized with financial support from the Swedish Electromobility Centre (SEC).</w:t>
            </w:r>
          </w:p>
          <w:p w14:paraId="39DB4267" w14:textId="5E11AF16" w:rsidR="580B22C3" w:rsidRPr="00D3501C" w:rsidRDefault="580B22C3">
            <w:pPr>
              <w:rPr>
                <w:i/>
              </w:rPr>
            </w:pPr>
            <w:r w:rsidRPr="00D3501C">
              <w:rPr>
                <w:rFonts w:eastAsia="Calibri" w:cs="Calibri"/>
                <w:bCs/>
                <w:i/>
                <w:color w:val="000000" w:themeColor="text1"/>
                <w:szCs w:val="24"/>
                <w:lang w:val="en-US"/>
              </w:rPr>
              <w:t xml:space="preserve">Predictive maintenance for Asset Management  </w:t>
            </w:r>
          </w:p>
          <w:p w14:paraId="1F689716" w14:textId="4DF40E6B" w:rsidR="49CB27EE" w:rsidRDefault="50F906C4" w:rsidP="50F906C4">
            <w:pPr>
              <w:jc w:val="both"/>
            </w:pPr>
            <w:r w:rsidRPr="50F906C4">
              <w:rPr>
                <w:rFonts w:eastAsia="Calibri" w:cs="Calibri"/>
                <w:color w:val="000000" w:themeColor="text1"/>
                <w:szCs w:val="24"/>
                <w:lang w:val="en-US"/>
              </w:rPr>
              <w:t xml:space="preserve">The contribution to scientific body of knowledge is specifically in developing analytical methods for predictive maintenance. Recent research focus on developing novel methods for health condition models and anomaly detection with wind power applications. A series of publications have been made, such as  </w:t>
            </w:r>
          </w:p>
          <w:p w14:paraId="25AD1B05" w14:textId="0ADD86FC" w:rsidR="49CB27EE" w:rsidRDefault="50F906C4" w:rsidP="50F906C4">
            <w:pPr>
              <w:jc w:val="both"/>
            </w:pPr>
            <w:r w:rsidRPr="50F906C4">
              <w:rPr>
                <w:rFonts w:eastAsia="Calibri" w:cs="Calibri"/>
                <w:szCs w:val="24"/>
                <w:lang w:val="en-US"/>
              </w:rPr>
              <w:t>Y. Cui, P. Bangalore, and L. Bertling Tjernberg, “</w:t>
            </w:r>
            <w:r w:rsidRPr="50F906C4">
              <w:rPr>
                <w:rFonts w:eastAsia="Calibri" w:cs="Calibri"/>
                <w:i/>
                <w:iCs/>
                <w:szCs w:val="24"/>
                <w:lang w:val="en-US"/>
              </w:rPr>
              <w:t>An anomaly detection approach using wavelet transform and artificial neural networks for condition monitoring of wind turbines’ gearboxes</w:t>
            </w:r>
            <w:r w:rsidRPr="50F906C4">
              <w:rPr>
                <w:rFonts w:eastAsia="Calibri" w:cs="Calibri"/>
                <w:szCs w:val="24"/>
                <w:lang w:val="en-US"/>
              </w:rPr>
              <w:t>” , In proceedings of Power Systems Computation Conference (PSCC), Mazidi P., Du M., Bertling Tjernberg L., Sanz-Bobi M, “</w:t>
            </w:r>
            <w:r w:rsidRPr="50F906C4">
              <w:rPr>
                <w:rFonts w:eastAsia="Calibri" w:cs="Calibri"/>
                <w:i/>
                <w:iCs/>
                <w:szCs w:val="24"/>
                <w:lang w:val="en-US"/>
              </w:rPr>
              <w:t>Health Condition Model for Wind Turbine Monitoring through Neural Networks and Proportional Hazard Models</w:t>
            </w:r>
            <w:r w:rsidRPr="50F906C4">
              <w:rPr>
                <w:rFonts w:eastAsia="Calibri" w:cs="Calibri"/>
                <w:szCs w:val="24"/>
                <w:lang w:val="en-US"/>
              </w:rPr>
              <w:t>”, Institution of Mechanical Engineers, Journal of Risk and Reliability, Vol. 231(5), Pages: 481–494, 2017. Mazidi P., Bertling Tjernberg L., Sanz-Bobi M., “</w:t>
            </w:r>
            <w:r w:rsidRPr="50F906C4">
              <w:rPr>
                <w:rFonts w:eastAsia="Calibri" w:cs="Calibri"/>
                <w:i/>
                <w:iCs/>
                <w:szCs w:val="24"/>
                <w:lang w:val="en-US"/>
              </w:rPr>
              <w:t>Wind Turbine Prognostics and Maintenance Management based on a Hybrid Approach of Neural Networks and Proportional Hazards Model”</w:t>
            </w:r>
            <w:r w:rsidRPr="50F906C4">
              <w:rPr>
                <w:rFonts w:eastAsia="Calibri" w:cs="Calibri"/>
                <w:szCs w:val="24"/>
                <w:lang w:val="en-US"/>
              </w:rPr>
              <w:t>, Institution of Mechanical Engineers, Journal of Risk and Reliability, Vol. 231(2), Pages: 121-129, 2017  M. Du, L. Bertling Tjernberg, S. Ma, Q. He, L. Cheng, J. Guo, “</w:t>
            </w:r>
            <w:r w:rsidRPr="50F906C4">
              <w:rPr>
                <w:rFonts w:eastAsia="Calibri" w:cs="Calibri"/>
                <w:i/>
                <w:iCs/>
                <w:szCs w:val="24"/>
                <w:lang w:val="en-US"/>
              </w:rPr>
              <w:t>A SOM based Anomaly Detection Method for Wind Turbines Health Management through SCADA Data</w:t>
            </w:r>
            <w:r w:rsidRPr="50F906C4">
              <w:rPr>
                <w:rFonts w:eastAsia="Calibri" w:cs="Calibri"/>
                <w:szCs w:val="24"/>
                <w:lang w:val="en-US"/>
              </w:rPr>
              <w:t>”, International Journal of Prognostics and Health Management, Vol. 7, Pages: 1-13, 2016.</w:t>
            </w:r>
          </w:p>
          <w:p w14:paraId="3448284B" w14:textId="3FC38F32" w:rsidR="49CB27EE" w:rsidRDefault="50F906C4" w:rsidP="50F906C4">
            <w:pPr>
              <w:jc w:val="both"/>
              <w:rPr>
                <w:rFonts w:eastAsia="Calibri" w:cs="Calibri"/>
                <w:color w:val="000000" w:themeColor="text1"/>
                <w:szCs w:val="24"/>
                <w:lang w:val="en-US"/>
              </w:rPr>
            </w:pPr>
            <w:r w:rsidRPr="50F906C4">
              <w:rPr>
                <w:rFonts w:eastAsia="Calibri" w:cs="Calibri"/>
                <w:color w:val="000000" w:themeColor="text1"/>
                <w:szCs w:val="24"/>
                <w:lang w:val="en-US"/>
              </w:rPr>
              <w:t>Additionally, a book (</w:t>
            </w:r>
            <w:r w:rsidRPr="50F906C4">
              <w:rPr>
                <w:rFonts w:eastAsia="Calibri" w:cs="Calibri"/>
                <w:szCs w:val="24"/>
                <w:lang w:val="en-US"/>
              </w:rPr>
              <w:t xml:space="preserve">Infrastructure Asset Management with Power System Applications) </w:t>
            </w:r>
            <w:r w:rsidRPr="50F906C4">
              <w:rPr>
                <w:rFonts w:eastAsia="Calibri" w:cs="Calibri"/>
                <w:color w:val="000000" w:themeColor="text1"/>
                <w:szCs w:val="24"/>
                <w:lang w:val="en-US"/>
              </w:rPr>
              <w:t xml:space="preserve">has been published by the CRC press presenting the extensive research and the developed Reliability Centered maintenance method (RCAM) in 2018 and in 2019 the project was selected for </w:t>
            </w:r>
            <w:hyperlink r:id="rId35">
              <w:r w:rsidRPr="50F906C4">
                <w:rPr>
                  <w:rStyle w:val="Hyperlink"/>
                  <w:rFonts w:eastAsia="Calibri" w:cs="Calibri"/>
                  <w:color w:val="auto"/>
                  <w:szCs w:val="24"/>
                  <w:lang w:val="en-US"/>
                </w:rPr>
                <w:t>IVAs list of 100 national projects</w:t>
              </w:r>
            </w:hyperlink>
            <w:r w:rsidRPr="50F906C4">
              <w:rPr>
                <w:rFonts w:eastAsia="Calibri" w:cs="Calibri"/>
                <w:szCs w:val="24"/>
                <w:lang w:val="en-US"/>
              </w:rPr>
              <w:t xml:space="preserve"> important for the future industry “RCAM and predictive maintenance”. </w:t>
            </w:r>
          </w:p>
          <w:p w14:paraId="4CDCCC7B" w14:textId="7DA4A90D" w:rsidR="49CB27EE" w:rsidRPr="00D3501C" w:rsidRDefault="50F906C4" w:rsidP="50F906C4">
            <w:pPr>
              <w:jc w:val="both"/>
              <w:rPr>
                <w:rFonts w:eastAsia="Calibri" w:cs="Calibri"/>
                <w:bCs/>
                <w:i/>
                <w:szCs w:val="24"/>
                <w:lang w:val="en-US"/>
              </w:rPr>
            </w:pPr>
            <w:r w:rsidRPr="00D3501C">
              <w:rPr>
                <w:rFonts w:eastAsia="Calibri" w:cs="Calibri"/>
                <w:bCs/>
                <w:i/>
                <w:szCs w:val="24"/>
                <w:lang w:val="en-US"/>
              </w:rPr>
              <w:t>Power System Control and Operation</w:t>
            </w:r>
          </w:p>
          <w:p w14:paraId="5EE6D8DE" w14:textId="7916F53B" w:rsidR="49CB27EE" w:rsidRDefault="50F906C4" w:rsidP="50F906C4">
            <w:pPr>
              <w:spacing w:line="276" w:lineRule="exact"/>
              <w:rPr>
                <w:rFonts w:eastAsia="Calibri" w:cs="Calibri"/>
                <w:color w:val="000000" w:themeColor="text1"/>
                <w:szCs w:val="24"/>
                <w:lang w:val="en-US"/>
              </w:rPr>
            </w:pPr>
            <w:r w:rsidRPr="50F906C4">
              <w:rPr>
                <w:rFonts w:eastAsia="Calibri" w:cs="Calibri"/>
                <w:color w:val="000000" w:themeColor="text1"/>
                <w:szCs w:val="24"/>
                <w:lang w:val="en-US"/>
              </w:rPr>
              <w:lastRenderedPageBreak/>
              <w:t xml:space="preserve">A multi-terminal HVDC grid (MTDC grid) has been seen as a solution to allow a massive integration of renewable energy sources in the European power system. The contributions of the group include knowledge on technical as well as techno-economic limitations and control and operational issues. For example, in A multi-option unified power flow approach for hybrid AC/DC grids incorporating multi-terminal VSC-HVDC” Baradar, M., Ghandhari, M.2013 IEEE Transactions on Power Systems 28 (3), pp. 2376-2383, a new general unified AC/MTDC power flow calculation was proposed. The proposed method is very fast and efficient and can be used for any AC/MTDC grid configuration. In “Optimizing DC voltage droop settings for AC/DC system interactions” </w:t>
            </w:r>
            <w:r w:rsidRPr="00D3501C">
              <w:rPr>
                <w:rFonts w:eastAsia="Calibri" w:cs="Calibri"/>
                <w:color w:val="000000" w:themeColor="text1"/>
                <w:szCs w:val="24"/>
                <w:lang w:val="en-US"/>
              </w:rPr>
              <w:t xml:space="preserve">Eriksson, R., Beerten, J., Ghandhari, M., Belmans, R. </w:t>
            </w:r>
            <w:r w:rsidRPr="50F906C4">
              <w:rPr>
                <w:rFonts w:eastAsia="Calibri" w:cs="Calibri"/>
                <w:color w:val="000000" w:themeColor="text1"/>
                <w:szCs w:val="24"/>
                <w:lang w:val="en-US"/>
              </w:rPr>
              <w:t>2014 IEEE Transactions on Power Delivery 29 (1), pp. 362-369, a methodology was presented to assess the impact of converter outages in an MTDC grid on the AC grid stability. The method derives the voltage droop settings to minimize the adverse effect of a disturbance on the dc side. The work also includes studies of centralized versus distributed operation and control as demonstrated in Study of centralized and distributed coordination of power injection in multi-TSO HVDC grid with large off-shore wind integration”Babazadeh, D., Van Hertem D., Nordström, L.,  Electric Power Systems Research,Vol. 136, pp. 281-288, Elsevier (2016) and Selection of DC voltage controlling station in an HVDC grid”, Babazadeh, D., Muthukrishnan, A., Mitra, P., Larsson, T., Nordström, L., Electric Power Systems Research, Vol 144, pp 224-232, Elsevier (2017)</w:t>
            </w:r>
          </w:p>
          <w:p w14:paraId="19411FC0" w14:textId="666D1919" w:rsidR="49CB27EE" w:rsidRDefault="00D3501C" w:rsidP="50F906C4">
            <w:pPr>
              <w:spacing w:line="276" w:lineRule="exact"/>
              <w:rPr>
                <w:rFonts w:eastAsia="Calibri" w:cs="Calibri"/>
                <w:color w:val="000000" w:themeColor="text1"/>
                <w:szCs w:val="24"/>
                <w:lang w:val="en-US"/>
              </w:rPr>
            </w:pPr>
            <w:r w:rsidRPr="00D3501C">
              <w:rPr>
                <w:bCs/>
                <w:lang w:val="en-US"/>
              </w:rPr>
              <w:t xml:space="preserve">The </w:t>
            </w:r>
            <w:r w:rsidRPr="00D3501C">
              <w:rPr>
                <w:bCs/>
                <w:i/>
                <w:lang w:val="en-US"/>
              </w:rPr>
              <w:t>division of space and plasma physics</w:t>
            </w:r>
            <w:r>
              <w:rPr>
                <w:bCs/>
                <w:i/>
                <w:lang w:val="en-US"/>
              </w:rPr>
              <w:t xml:space="preserve"> (SPP)</w:t>
            </w:r>
            <w:r>
              <w:rPr>
                <w:b/>
                <w:bCs/>
                <w:lang w:val="en-US"/>
              </w:rPr>
              <w:t xml:space="preserve"> </w:t>
            </w:r>
            <w:r w:rsidR="50F906C4" w:rsidRPr="50F906C4">
              <w:rPr>
                <w:lang w:val="en-US"/>
              </w:rPr>
              <w:t>is publishing within the leading international journals in its field. During the period there has been a steady increase in the publication rate, mainly driven by contributions to large international projects, NASA MMS mission and ITER, as well as original studies leading to extended follow-up work. We highlight a few publications from different fields:</w:t>
            </w:r>
          </w:p>
          <w:p w14:paraId="53B89004" w14:textId="45F55067" w:rsidR="49CB27EE" w:rsidRDefault="13264B1B" w:rsidP="3141DCD1">
            <w:pPr>
              <w:rPr>
                <w:rFonts w:eastAsia="Calibri" w:cs="Calibri"/>
                <w:color w:val="000000" w:themeColor="text1"/>
                <w:szCs w:val="24"/>
              </w:rPr>
            </w:pPr>
            <w:r w:rsidRPr="13264B1B">
              <w:rPr>
                <w:rFonts w:eastAsia="Calibri" w:cs="Calibri"/>
                <w:color w:val="000000" w:themeColor="text1"/>
                <w:szCs w:val="24"/>
              </w:rPr>
              <w:t xml:space="preserve">Karlsson, T. et al., “On the Origin of Magnetosheath Plasmoids and Their Relation to Magnetosheath Jets.” </w:t>
            </w:r>
            <w:r w:rsidRPr="00D3501C">
              <w:rPr>
                <w:rFonts w:eastAsia="Calibri" w:cs="Calibri"/>
                <w:i/>
                <w:iCs/>
                <w:color w:val="000000" w:themeColor="text1"/>
                <w:szCs w:val="24"/>
                <w:lang w:val="en-US"/>
              </w:rPr>
              <w:t>Journal of Geophysical Research: Space Physics</w:t>
            </w:r>
            <w:r w:rsidRPr="00D3501C">
              <w:rPr>
                <w:rFonts w:eastAsia="Calibri" w:cs="Calibri"/>
                <w:color w:val="000000" w:themeColor="text1"/>
                <w:szCs w:val="24"/>
                <w:lang w:val="en-US"/>
              </w:rPr>
              <w:t xml:space="preserve"> 120, no. 9 (2015):</w:t>
            </w:r>
            <w:r w:rsidRPr="00D3501C">
              <w:rPr>
                <w:rFonts w:ascii="Cambria" w:eastAsia="Cambria" w:hAnsi="Cambria" w:cs="Cambria"/>
                <w:color w:val="000000" w:themeColor="text1"/>
                <w:sz w:val="22"/>
                <w:lang w:val="en-US"/>
              </w:rPr>
              <w:t xml:space="preserve"> </w:t>
            </w:r>
            <w:r w:rsidRPr="00D3501C">
              <w:rPr>
                <w:rFonts w:eastAsia="Calibri" w:cs="Calibri"/>
                <w:color w:val="000000" w:themeColor="text1"/>
                <w:szCs w:val="24"/>
                <w:lang w:val="en-US"/>
              </w:rPr>
              <w:t xml:space="preserve">7390–7403. </w:t>
            </w:r>
            <w:hyperlink r:id="rId36">
              <w:r w:rsidRPr="00D3501C">
                <w:rPr>
                  <w:rStyle w:val="Hyperlink"/>
                  <w:rFonts w:eastAsia="Calibri" w:cs="Calibri"/>
                  <w:color w:val="000000" w:themeColor="text1"/>
                  <w:szCs w:val="24"/>
                  <w:lang w:val="en-US"/>
                </w:rPr>
                <w:t>https://doi.org/10.1002/2015JA021487</w:t>
              </w:r>
            </w:hyperlink>
            <w:r w:rsidRPr="00D3501C">
              <w:rPr>
                <w:rFonts w:eastAsia="Calibri" w:cs="Calibri"/>
                <w:color w:val="000000" w:themeColor="text1"/>
                <w:szCs w:val="24"/>
                <w:lang w:val="en-US"/>
              </w:rPr>
              <w:t>. (17 citations)</w:t>
            </w:r>
            <w:r w:rsidR="49CB27EE">
              <w:br/>
            </w:r>
            <w:r w:rsidRPr="13264B1B">
              <w:rPr>
                <w:rFonts w:eastAsia="Calibri" w:cs="Calibri"/>
                <w:color w:val="000000" w:themeColor="text1"/>
                <w:szCs w:val="24"/>
              </w:rPr>
              <w:t>The dynamic properties of magnetosheath are still one of the major unsolved topics in space science.  This study shows how different types of plasmoids form in the magnetosheath and how they relate to the magnetosheath jets.</w:t>
            </w:r>
          </w:p>
          <w:p w14:paraId="1D33415A" w14:textId="54E3CD65" w:rsidR="49CB27EE" w:rsidRPr="00D3501C" w:rsidRDefault="0B3BBCF7" w:rsidP="3141DCD1">
            <w:pPr>
              <w:rPr>
                <w:rFonts w:eastAsia="Calibri" w:cs="Calibri"/>
                <w:color w:val="000000" w:themeColor="text1"/>
                <w:szCs w:val="24"/>
                <w:lang w:val="en-US"/>
              </w:rPr>
            </w:pPr>
            <w:r w:rsidRPr="0B3BBCF7">
              <w:rPr>
                <w:rFonts w:eastAsia="Calibri" w:cs="Calibri"/>
                <w:color w:val="000000" w:themeColor="text1"/>
                <w:szCs w:val="24"/>
              </w:rPr>
              <w:t xml:space="preserve">L. Roth </w:t>
            </w:r>
            <w:r w:rsidRPr="00D3501C">
              <w:rPr>
                <w:rFonts w:eastAsia="Calibri" w:cs="Calibri"/>
                <w:i/>
                <w:iCs/>
                <w:color w:val="000000" w:themeColor="text1"/>
                <w:szCs w:val="24"/>
                <w:lang w:val="en-US"/>
              </w:rPr>
              <w:t>et al.</w:t>
            </w:r>
            <w:r w:rsidRPr="0B3BBCF7">
              <w:rPr>
                <w:rFonts w:eastAsia="Calibri" w:cs="Calibri"/>
                <w:color w:val="000000" w:themeColor="text1"/>
                <w:szCs w:val="24"/>
              </w:rPr>
              <w:t xml:space="preserve">, “Europa’s far ultraviolet oxygen aurora from a comprehensive set of HST observations,” </w:t>
            </w:r>
            <w:r w:rsidRPr="00D3501C">
              <w:rPr>
                <w:rFonts w:eastAsia="Calibri" w:cs="Calibri"/>
                <w:i/>
                <w:iCs/>
                <w:color w:val="000000" w:themeColor="text1"/>
                <w:szCs w:val="24"/>
                <w:lang w:val="en-US"/>
              </w:rPr>
              <w:t>Journal of Geophysical Research A: Space Physics</w:t>
            </w:r>
            <w:r w:rsidRPr="0B3BBCF7">
              <w:rPr>
                <w:rFonts w:eastAsia="Calibri" w:cs="Calibri"/>
                <w:color w:val="000000" w:themeColor="text1"/>
                <w:szCs w:val="24"/>
              </w:rPr>
              <w:t xml:space="preserve">, vol. 121, no. 3, pp. 2143–2170, 2016, doi: </w:t>
            </w:r>
            <w:hyperlink r:id="rId37">
              <w:r w:rsidRPr="00D3501C">
                <w:rPr>
                  <w:rStyle w:val="Hyperlink"/>
                  <w:rFonts w:eastAsia="Calibri" w:cs="Calibri"/>
                  <w:color w:val="000000" w:themeColor="text1"/>
                  <w:szCs w:val="24"/>
                  <w:lang w:val="en-US"/>
                </w:rPr>
                <w:t>10.1002/2015JA022073</w:t>
              </w:r>
            </w:hyperlink>
            <w:r w:rsidRPr="00D3501C">
              <w:rPr>
                <w:rFonts w:eastAsia="Calibri" w:cs="Calibri"/>
                <w:color w:val="000000" w:themeColor="text1"/>
                <w:szCs w:val="24"/>
                <w:lang w:val="en-US"/>
              </w:rPr>
              <w:t>. (26 citations)</w:t>
            </w:r>
            <w:r w:rsidR="49CB27EE">
              <w:br/>
            </w:r>
            <w:r w:rsidRPr="0B3BBCF7">
              <w:rPr>
                <w:rFonts w:eastAsia="Calibri" w:cs="Calibri"/>
                <w:color w:val="000000" w:themeColor="text1"/>
                <w:szCs w:val="24"/>
              </w:rPr>
              <w:t xml:space="preserve"> A series of publications study Jupiter and it's moon Europa in far ultraviolet range by Hubble's Space Telescope. This study shows that oxygen aurora on Europa undergoes systematic variations correlated to the periodically changing plasma environment.</w:t>
            </w:r>
            <w:r w:rsidRPr="00D3501C">
              <w:rPr>
                <w:rFonts w:eastAsia="Calibri" w:cs="Calibri"/>
                <w:color w:val="000000" w:themeColor="text1"/>
                <w:szCs w:val="24"/>
                <w:lang w:val="en-US"/>
              </w:rPr>
              <w:t xml:space="preserve"> </w:t>
            </w:r>
          </w:p>
          <w:p w14:paraId="724607E3" w14:textId="62BEF96C" w:rsidR="49CB27EE" w:rsidRDefault="0B3BBCF7" w:rsidP="3141DCD1">
            <w:pPr>
              <w:rPr>
                <w:rFonts w:eastAsia="Calibri" w:cs="Calibri"/>
                <w:color w:val="000000" w:themeColor="text1"/>
                <w:szCs w:val="24"/>
              </w:rPr>
            </w:pPr>
            <w:r w:rsidRPr="0B3BBCF7">
              <w:rPr>
                <w:rFonts w:eastAsia="Calibri" w:cs="Calibri"/>
                <w:color w:val="000000" w:themeColor="text1"/>
                <w:szCs w:val="24"/>
              </w:rPr>
              <w:t xml:space="preserve">L. Vignitchouk, P. Tolias, and S. Ratynskaia, “Dust–wall and dust–plasma interaction in the MIGRAINe code,” </w:t>
            </w:r>
            <w:r w:rsidRPr="00D3501C">
              <w:rPr>
                <w:rFonts w:eastAsia="Calibri" w:cs="Calibri"/>
                <w:i/>
                <w:iCs/>
                <w:color w:val="000000" w:themeColor="text1"/>
                <w:szCs w:val="24"/>
                <w:lang w:val="en-US"/>
              </w:rPr>
              <w:t xml:space="preserve">Plasma Phys. </w:t>
            </w:r>
            <w:r w:rsidRPr="0B3BBCF7">
              <w:rPr>
                <w:rFonts w:eastAsia="Calibri" w:cs="Calibri"/>
                <w:i/>
                <w:iCs/>
                <w:color w:val="000000" w:themeColor="text1"/>
                <w:szCs w:val="24"/>
                <w:lang w:val="sv"/>
              </w:rPr>
              <w:t xml:space="preserve">Control. </w:t>
            </w:r>
            <w:r w:rsidRPr="00D3501C">
              <w:rPr>
                <w:rFonts w:eastAsia="Calibri" w:cs="Calibri"/>
                <w:i/>
                <w:iCs/>
                <w:color w:val="000000" w:themeColor="text1"/>
                <w:szCs w:val="24"/>
                <w:lang w:val="en-US"/>
              </w:rPr>
              <w:t>Fusion</w:t>
            </w:r>
            <w:r w:rsidRPr="0B3BBCF7">
              <w:rPr>
                <w:rFonts w:eastAsia="Calibri" w:cs="Calibri"/>
                <w:color w:val="000000" w:themeColor="text1"/>
                <w:szCs w:val="24"/>
              </w:rPr>
              <w:t xml:space="preserve">, vol. 56, no. 9, p. 095005, Jul. 2014, doi: </w:t>
            </w:r>
            <w:hyperlink r:id="rId38">
              <w:r w:rsidRPr="00D3501C">
                <w:rPr>
                  <w:rStyle w:val="Hyperlink"/>
                  <w:rFonts w:eastAsia="Calibri" w:cs="Calibri"/>
                  <w:color w:val="000000" w:themeColor="text1"/>
                  <w:szCs w:val="24"/>
                  <w:lang w:val="en-US"/>
                </w:rPr>
                <w:t>10.1088/0741-3335/56/9/095005</w:t>
              </w:r>
            </w:hyperlink>
            <w:r w:rsidRPr="00D3501C">
              <w:rPr>
                <w:rFonts w:eastAsia="Calibri" w:cs="Calibri"/>
                <w:color w:val="000000" w:themeColor="text1"/>
                <w:szCs w:val="24"/>
                <w:lang w:val="en-US"/>
              </w:rPr>
              <w:t>. (37 citations)</w:t>
            </w:r>
            <w:r w:rsidR="49CB27EE">
              <w:br/>
            </w:r>
            <w:r w:rsidRPr="0B3BBCF7">
              <w:rPr>
                <w:rFonts w:eastAsia="Calibri" w:cs="Calibri"/>
                <w:color w:val="000000" w:themeColor="text1"/>
                <w:szCs w:val="24"/>
              </w:rPr>
              <w:t xml:space="preserve"> MIGRAINe is a group-made unique dust dynamics code that encompasses all aspects of dust-plasma and dust-vessel interactions that are relevant for dust transport and survivability in contemporary as well as future fusion devices. It has been employed as a predictive tool of dust accumulation sites in ITER.</w:t>
            </w:r>
          </w:p>
          <w:p w14:paraId="17E9AB8A" w14:textId="7A676FD6" w:rsidR="49CB27EE" w:rsidRDefault="0B3BBCF7" w:rsidP="3141DCD1">
            <w:pPr>
              <w:rPr>
                <w:rFonts w:eastAsia="Calibri" w:cs="Calibri"/>
                <w:color w:val="000000" w:themeColor="text1"/>
                <w:szCs w:val="24"/>
              </w:rPr>
            </w:pPr>
            <w:r w:rsidRPr="0B3BBCF7">
              <w:rPr>
                <w:rFonts w:eastAsia="Calibri" w:cs="Calibri"/>
                <w:color w:val="000000" w:themeColor="text1"/>
                <w:szCs w:val="24"/>
              </w:rPr>
              <w:lastRenderedPageBreak/>
              <w:t xml:space="preserve">P. Tolias, S. Ratynskaia, and U. De Angelis, “Soft mean spherical approximation for dusty plasma liquids: One-component Yukawa systems with plasma shielding,” </w:t>
            </w:r>
            <w:r w:rsidRPr="00D3501C">
              <w:rPr>
                <w:rFonts w:eastAsia="Calibri" w:cs="Calibri"/>
                <w:i/>
                <w:iCs/>
                <w:color w:val="000000" w:themeColor="text1"/>
                <w:szCs w:val="24"/>
                <w:lang w:val="en-US"/>
              </w:rPr>
              <w:t>Physical Review E - Statistical, Nonlinear, and Soft Matter Physics</w:t>
            </w:r>
            <w:r w:rsidRPr="0B3BBCF7">
              <w:rPr>
                <w:rFonts w:eastAsia="Calibri" w:cs="Calibri"/>
                <w:color w:val="000000" w:themeColor="text1"/>
                <w:szCs w:val="24"/>
              </w:rPr>
              <w:t xml:space="preserve">, vol. 90, no. 5, 2014, doi: </w:t>
            </w:r>
            <w:hyperlink r:id="rId39">
              <w:r w:rsidRPr="00D3501C">
                <w:rPr>
                  <w:rStyle w:val="Hyperlink"/>
                  <w:rFonts w:eastAsia="Calibri" w:cs="Calibri"/>
                  <w:color w:val="000000" w:themeColor="text1"/>
                  <w:szCs w:val="24"/>
                  <w:lang w:val="en-US"/>
                </w:rPr>
                <w:t>10.1103/PhysRevE.90.053101</w:t>
              </w:r>
            </w:hyperlink>
            <w:r w:rsidRPr="00D3501C">
              <w:rPr>
                <w:rFonts w:eastAsia="Calibri" w:cs="Calibri"/>
                <w:color w:val="000000" w:themeColor="text1"/>
                <w:szCs w:val="24"/>
                <w:lang w:val="en-US"/>
              </w:rPr>
              <w:t>. (20 citations)</w:t>
            </w:r>
            <w:r w:rsidR="49CB27EE">
              <w:br/>
            </w:r>
            <w:r w:rsidRPr="0B3BBCF7">
              <w:rPr>
                <w:rFonts w:eastAsia="Calibri" w:cs="Calibri"/>
                <w:color w:val="000000" w:themeColor="text1"/>
                <w:szCs w:val="24"/>
              </w:rPr>
              <w:t xml:space="preserve"> Several publications address the theoretical development of dusty plasma description based on the first principle calculations.</w:t>
            </w:r>
          </w:p>
          <w:p w14:paraId="5C2B9545" w14:textId="0569EB9F" w:rsidR="49CB27EE" w:rsidRDefault="00D3501C" w:rsidP="0B3BBCF7">
            <w:pPr>
              <w:rPr>
                <w:rFonts w:eastAsia="Calibri" w:cs="Calibri"/>
                <w:szCs w:val="24"/>
              </w:rPr>
            </w:pPr>
            <w:r w:rsidRPr="00D3501C">
              <w:rPr>
                <w:rFonts w:eastAsia="Calibri" w:cs="Calibri"/>
                <w:bCs/>
                <w:szCs w:val="24"/>
              </w:rPr>
              <w:t>The</w:t>
            </w:r>
            <w:r w:rsidRPr="00D3501C">
              <w:rPr>
                <w:rFonts w:eastAsia="Calibri" w:cs="Calibri"/>
                <w:bCs/>
                <w:i/>
                <w:szCs w:val="24"/>
              </w:rPr>
              <w:t xml:space="preserve"> division of </w:t>
            </w:r>
            <w:r>
              <w:rPr>
                <w:rFonts w:eastAsia="Calibri" w:cs="Calibri"/>
                <w:bCs/>
                <w:i/>
                <w:szCs w:val="24"/>
              </w:rPr>
              <w:t xml:space="preserve">fusion plasma physics (FPP) </w:t>
            </w:r>
            <w:r w:rsidR="6A2D7309" w:rsidRPr="6A2D7309">
              <w:rPr>
                <w:rFonts w:eastAsia="Calibri" w:cs="Calibri"/>
                <w:szCs w:val="24"/>
              </w:rPr>
              <w:t xml:space="preserve">has made a major contribution to the scientific knowledge in the field of plasma-wall interactions; crucial for safety and economy of reactor operation. During the period 2012-2019, over 100 papers have been published and 12 submitted on this research theme.  A crucial tool for quantitative surface analysis with depth profiling of material from metal-wall fusion devices was fully developed. </w:t>
            </w:r>
          </w:p>
          <w:p w14:paraId="3BBF2977" w14:textId="2E397059" w:rsidR="49CB27EE" w:rsidRDefault="3141DCD1" w:rsidP="3141DCD1">
            <w:pPr>
              <w:rPr>
                <w:rFonts w:eastAsia="Calibri" w:cs="Calibri"/>
                <w:szCs w:val="24"/>
              </w:rPr>
            </w:pPr>
            <w:r w:rsidRPr="3141DCD1">
              <w:rPr>
                <w:rFonts w:eastAsia="Calibri" w:cs="Calibri"/>
                <w:szCs w:val="24"/>
              </w:rPr>
              <w:t>“A combined segmented anode gas ionization chamber and ToF detector for heavy ion elastic recoil detection analysis”, P. Ström, P. Petersson, M. Rubel, G. Possnert. Rev. Sci. Instrum. 87 (2016) 103303  (34 citations)</w:t>
            </w:r>
          </w:p>
          <w:p w14:paraId="5AD72EE1" w14:textId="489D446C" w:rsidR="49CB27EE" w:rsidRDefault="3141DCD1" w:rsidP="3141DCD1">
            <w:pPr>
              <w:rPr>
                <w:rFonts w:eastAsia="Calibri" w:cs="Calibri"/>
                <w:szCs w:val="24"/>
              </w:rPr>
            </w:pPr>
            <w:r w:rsidRPr="3141DCD1">
              <w:rPr>
                <w:rFonts w:eastAsia="Calibri" w:cs="Calibri"/>
                <w:szCs w:val="24"/>
              </w:rPr>
              <w:t>A new class of ion cyclotron radio frequency heating scenarios have been developed and experimentally verified. The three-ion neutral beam injection scenario was proposed by the group in collaboration with Y. Kazakov. The successful results was published in Nature Physics .</w:t>
            </w:r>
          </w:p>
          <w:p w14:paraId="558E4F4B" w14:textId="67C1EF9D" w:rsidR="49CB27EE" w:rsidRDefault="0B3BBCF7" w:rsidP="3141DCD1">
            <w:pPr>
              <w:rPr>
                <w:rFonts w:eastAsia="Calibri" w:cs="Calibri"/>
                <w:szCs w:val="24"/>
              </w:rPr>
            </w:pPr>
            <w:r w:rsidRPr="0B3BBCF7">
              <w:rPr>
                <w:rFonts w:eastAsia="Calibri" w:cs="Calibri"/>
                <w:szCs w:val="24"/>
              </w:rPr>
              <w:t>“Efficient generation of energetic ions in multi-ion plasmas by radio-frequency heating”, Y. Kazakov et al (including T. Johnson), Nature Physics 13, 973 (2017). (20 citations)</w:t>
            </w:r>
          </w:p>
          <w:p w14:paraId="1BC7A60B" w14:textId="1D3432AC" w:rsidR="2D4DB03C" w:rsidRPr="00D3501C" w:rsidRDefault="492E8A79" w:rsidP="00D3501C">
            <w:pPr>
              <w:rPr>
                <w:rFonts w:eastAsia="Calibri" w:cs="Calibri"/>
                <w:szCs w:val="24"/>
              </w:rPr>
            </w:pPr>
            <w:r w:rsidRPr="492E8A79">
              <w:rPr>
                <w:rFonts w:eastAsia="Calibri" w:cs="Calibri"/>
                <w:szCs w:val="24"/>
              </w:rPr>
              <w:t xml:space="preserve">It is noticeable that the number of publications with co-authors from </w:t>
            </w:r>
            <w:r w:rsidRPr="00D3501C">
              <w:rPr>
                <w:rFonts w:eastAsia="Calibri" w:cs="Calibri"/>
                <w:bCs/>
                <w:szCs w:val="24"/>
              </w:rPr>
              <w:t>FPP</w:t>
            </w:r>
            <w:r w:rsidRPr="492E8A79">
              <w:rPr>
                <w:rFonts w:eastAsia="Calibri" w:cs="Calibri"/>
                <w:szCs w:val="24"/>
              </w:rPr>
              <w:t xml:space="preserve">, as listed by </w:t>
            </w:r>
            <w:r w:rsidRPr="492E8A79">
              <w:rPr>
                <w:rFonts w:eastAsia="Calibri" w:cs="Calibri"/>
                <w:i/>
                <w:iCs/>
                <w:szCs w:val="24"/>
              </w:rPr>
              <w:t>Web of Science</w:t>
            </w:r>
            <w:r w:rsidRPr="492E8A79">
              <w:rPr>
                <w:rFonts w:eastAsia="Calibri" w:cs="Calibri"/>
                <w:szCs w:val="24"/>
              </w:rPr>
              <w:t xml:space="preserve">, shows a significant increase from the year 2015 and onwards. This fact is related to the start of the EUROfusion Consortium work programme, and more specifically the EUROfusion joint experimental campaigns at the JET and MST research facilities. There is a large number of contributors in these joint experimental campaigns, and resulting publications have a mandatory list of co-authors representing all the contributors from the EUROfusion Consortium. The involvement in experimental activity at large research infrastructures is thus an important characteristic of the research output that affects various bibliometric parameters for </w:t>
            </w:r>
            <w:r w:rsidRPr="492E8A79">
              <w:rPr>
                <w:rFonts w:eastAsia="Calibri" w:cs="Calibri"/>
                <w:color w:val="000000" w:themeColor="text1"/>
                <w:szCs w:val="24"/>
              </w:rPr>
              <w:t>the Division</w:t>
            </w:r>
            <w:r w:rsidRPr="492E8A79">
              <w:rPr>
                <w:rFonts w:eastAsia="Calibri" w:cs="Calibri"/>
                <w:szCs w:val="24"/>
              </w:rPr>
              <w:t xml:space="preserve"> calculated from the bibliometric data provided by WoS .</w:t>
            </w:r>
          </w:p>
          <w:p w14:paraId="13CD09FB" w14:textId="67ED6FC8" w:rsidR="2D4DB03C" w:rsidRDefault="11A3F0CA" w:rsidP="11A3F0CA">
            <w:pPr>
              <w:spacing w:after="0"/>
              <w:rPr>
                <w:rFonts w:cs="Calibri"/>
                <w:lang w:val="en-US"/>
              </w:rPr>
            </w:pPr>
            <w:r w:rsidRPr="11A3F0CA">
              <w:rPr>
                <w:rFonts w:cs="Calibri"/>
                <w:lang w:val="en-US"/>
              </w:rPr>
              <w:t xml:space="preserve">The research in electromagnetic theory, including metamaterials and antennas, is to a large extent published in IEEE journals, there gaining high citation numbers. </w:t>
            </w:r>
            <w:r w:rsidRPr="11A3F0CA">
              <w:rPr>
                <w:rFonts w:eastAsia="Calibri" w:cs="Calibri"/>
                <w:szCs w:val="24"/>
                <w:lang w:val="en"/>
              </w:rPr>
              <w:t>As examples (according to Clarivate Analytics), we have co-authored:</w:t>
            </w:r>
            <w:r w:rsidRPr="11A3F0CA">
              <w:rPr>
                <w:rFonts w:cs="Calibri"/>
                <w:lang w:val="en-US"/>
              </w:rPr>
              <w:t xml:space="preserve">  </w:t>
            </w:r>
          </w:p>
          <w:p w14:paraId="5EB866D2" w14:textId="019E1A3B" w:rsidR="2D4DB03C" w:rsidRDefault="2D4DB03C" w:rsidP="2D4DB03C">
            <w:pPr>
              <w:spacing w:after="0"/>
              <w:rPr>
                <w:rFonts w:cs="Calibri"/>
                <w:highlight w:val="yellow"/>
                <w:lang w:val="en-US"/>
              </w:rPr>
            </w:pPr>
          </w:p>
          <w:p w14:paraId="40F18BF3" w14:textId="0629F2A1" w:rsidR="2D4DB03C" w:rsidRDefault="11A3F0CA" w:rsidP="2D4DB03C">
            <w:pPr>
              <w:spacing w:after="0"/>
              <w:rPr>
                <w:rFonts w:eastAsia="Calibri" w:cs="Calibri"/>
                <w:szCs w:val="24"/>
                <w:lang w:val="en"/>
              </w:rPr>
            </w:pPr>
            <w:r w:rsidRPr="11A3F0CA">
              <w:rPr>
                <w:rFonts w:eastAsia="Calibri" w:cs="Calibri"/>
                <w:szCs w:val="24"/>
                <w:lang w:val="en"/>
              </w:rPr>
              <w:t>The most cited article in IEEE AWPL in 2018:</w:t>
            </w:r>
          </w:p>
          <w:p w14:paraId="26AC1DCC" w14:textId="3151DA59" w:rsidR="2D4DB03C" w:rsidRDefault="2D4DB03C" w:rsidP="2D4DB03C">
            <w:pPr>
              <w:rPr>
                <w:rFonts w:eastAsia="Calibri" w:cs="Calibri"/>
                <w:szCs w:val="24"/>
                <w:lang w:val="en-US"/>
              </w:rPr>
            </w:pPr>
            <w:r w:rsidRPr="2D4DB03C">
              <w:rPr>
                <w:rFonts w:eastAsia="Calibri" w:cs="Calibri"/>
                <w:szCs w:val="24"/>
                <w:lang w:val="en-US"/>
              </w:rPr>
              <w:t>O. Quevedo-Teruel, J. Miao, M. Mattsson, A. Algaba-Brazalez, M. Johansson, L. Manholm “Glide-symmetric fully-metallic Luneburg lens for 5G Communications at Ka-band”, IEEE Antennas and Wireless Propagation Letters, vol. 17, no. 9, pp. 1588-1592, 2018.</w:t>
            </w:r>
          </w:p>
          <w:p w14:paraId="042F8211" w14:textId="2C1091DD" w:rsidR="000D6B05" w:rsidRPr="0044157D" w:rsidRDefault="492E8A79" w:rsidP="492E8A79">
            <w:pPr>
              <w:spacing w:after="0"/>
              <w:rPr>
                <w:rFonts w:eastAsia="Calibri" w:cs="Calibri"/>
                <w:w w:val="105"/>
                <w:szCs w:val="24"/>
                <w:lang w:val="en-US"/>
              </w:rPr>
            </w:pPr>
            <w:r w:rsidRPr="492E8A79">
              <w:rPr>
                <w:rFonts w:eastAsia="Calibri" w:cs="Calibri"/>
                <w:szCs w:val="24"/>
                <w:lang w:val="en"/>
              </w:rPr>
              <w:t>The most cited article in IEEE TMTT in 2018:</w:t>
            </w:r>
            <w:r w:rsidRPr="492E8A79">
              <w:rPr>
                <w:rFonts w:eastAsia="Calibri" w:cs="Calibri"/>
                <w:szCs w:val="24"/>
                <w:lang w:val="en-US"/>
              </w:rPr>
              <w:t xml:space="preserve"> </w:t>
            </w:r>
            <w:r w:rsidR="000D6B05">
              <w:br/>
            </w:r>
            <w:r w:rsidRPr="492E8A79">
              <w:rPr>
                <w:rFonts w:eastAsia="Calibri" w:cs="Calibri"/>
                <w:szCs w:val="24"/>
                <w:lang w:val="en-US"/>
              </w:rPr>
              <w:t xml:space="preserve">M. Ebrahimpouri, E. Rajo-Iglesias, Z. Sipus, O. Quevedo-Teruel, "Cost-Effective Gap Waveguide Technology Based on Glide-Symmetric Holey EBG Structures”, IEEE </w:t>
            </w:r>
            <w:r w:rsidRPr="492E8A79">
              <w:rPr>
                <w:rFonts w:eastAsia="Calibri" w:cs="Calibri"/>
                <w:szCs w:val="24"/>
                <w:lang w:val="en-US"/>
              </w:rPr>
              <w:lastRenderedPageBreak/>
              <w:t>Transactions on Microwave Theory and Techniques, vol. 66, no. 2, pp. 927-934, Feb. 2018.</w:t>
            </w:r>
          </w:p>
          <w:p w14:paraId="10A57DA6" w14:textId="41FAA26A" w:rsidR="492E8A79" w:rsidRDefault="492E8A79" w:rsidP="492E8A79">
            <w:pPr>
              <w:rPr>
                <w:rFonts w:eastAsia="Calibri" w:cs="Calibri"/>
                <w:szCs w:val="24"/>
                <w:lang w:val="en-US"/>
              </w:rPr>
            </w:pPr>
            <w:r w:rsidRPr="492E8A79">
              <w:rPr>
                <w:rFonts w:eastAsia="Calibri" w:cs="Calibri"/>
                <w:szCs w:val="24"/>
                <w:lang w:val="en-US"/>
              </w:rPr>
              <w:t>A recent research field related to high voltage components is related to polymer-ablation due to electric arcs during current interruption, a recent example from our reserch with collobarotion from industry (ABB):</w:t>
            </w:r>
          </w:p>
          <w:p w14:paraId="17FE9777" w14:textId="7CB15356" w:rsidR="492E8A79" w:rsidRDefault="50F906C4" w:rsidP="492E8A79">
            <w:r w:rsidRPr="50F906C4">
              <w:rPr>
                <w:rFonts w:eastAsia="Calibri" w:cs="Calibri"/>
                <w:szCs w:val="24"/>
                <w:lang w:val="en-US"/>
              </w:rPr>
              <w:t xml:space="preserve">Marley Becerra, Jonas Pettersson, Steffen Franke, and Sergey Gortschakow, “Temperature and pressure profiles of an ablation-controlled arc plasma in air”, Journal of Physics D: Applied Physics, Volume 52, Number 43, 2019 </w:t>
            </w:r>
          </w:p>
          <w:p w14:paraId="2411CB9D" w14:textId="5F201607" w:rsidR="492E8A79" w:rsidRDefault="492E8A79" w:rsidP="492E8A79">
            <w:r w:rsidRPr="492E8A79">
              <w:rPr>
                <w:rFonts w:eastAsia="Calibri" w:cs="Calibri"/>
                <w:szCs w:val="24"/>
                <w:lang w:val="en-US"/>
              </w:rPr>
              <w:t>Special Issue on Thermal-Plasma-Material Interactions</w:t>
            </w:r>
          </w:p>
          <w:p w14:paraId="2D9D6665" w14:textId="77777777" w:rsidR="000D6B05" w:rsidRPr="0044157D" w:rsidRDefault="000D6B05" w:rsidP="00910D79">
            <w:pPr>
              <w:spacing w:after="120"/>
              <w:rPr>
                <w:rFonts w:cs="Calibri"/>
                <w:w w:val="105"/>
                <w:szCs w:val="24"/>
              </w:rPr>
            </w:pPr>
            <w:r w:rsidRPr="0044157D">
              <w:rPr>
                <w:rFonts w:cs="Calibri"/>
                <w:b/>
                <w:w w:val="105"/>
                <w:szCs w:val="24"/>
              </w:rPr>
              <w:t>e.</w:t>
            </w:r>
            <w:r w:rsidRPr="0044157D">
              <w:rPr>
                <w:rFonts w:cs="Calibri"/>
                <w:w w:val="105"/>
                <w:szCs w:val="24"/>
              </w:rPr>
              <w:t xml:space="preserve"> </w:t>
            </w:r>
            <w:r w:rsidRPr="0044157D">
              <w:rPr>
                <w:rFonts w:eastAsiaTheme="majorEastAsia" w:cs="Calibri"/>
                <w:i/>
                <w:szCs w:val="24"/>
              </w:rPr>
              <w:t>Engagement in national and international research collaboration within academia and its outcomes</w:t>
            </w:r>
            <w:r w:rsidRPr="0044157D">
              <w:rPr>
                <w:rFonts w:cs="Calibri"/>
                <w:w w:val="105"/>
                <w:szCs w:val="24"/>
              </w:rPr>
              <w:t xml:space="preserve"> </w:t>
            </w:r>
          </w:p>
          <w:p w14:paraId="2DC03C09" w14:textId="7C4B0771" w:rsidR="1EA70E54" w:rsidRDefault="6A2D7309" w:rsidP="6A2D7309">
            <w:pPr>
              <w:spacing w:after="0" w:line="259" w:lineRule="auto"/>
              <w:rPr>
                <w:rFonts w:cs="Calibri"/>
                <w:lang w:val="en-US"/>
              </w:rPr>
            </w:pPr>
            <w:r w:rsidRPr="6A2D7309">
              <w:rPr>
                <w:rFonts w:cs="Calibri"/>
                <w:lang w:val="en-US"/>
              </w:rPr>
              <w:t xml:space="preserve">During the last ten years EE has been engaged in several national and international networks. The most important ones are described here. </w:t>
            </w:r>
          </w:p>
          <w:p w14:paraId="7313B979" w14:textId="7852FC81" w:rsidR="6A2D7309" w:rsidRDefault="6A2D7309" w:rsidP="6A2D7309">
            <w:pPr>
              <w:spacing w:after="0" w:line="259" w:lineRule="auto"/>
              <w:rPr>
                <w:rFonts w:cs="Calibri"/>
                <w:lang w:val="en-US"/>
              </w:rPr>
            </w:pPr>
          </w:p>
          <w:p w14:paraId="1C2CC503" w14:textId="52C3F29C" w:rsidR="1EA70E54" w:rsidRDefault="6A2D7309" w:rsidP="6A2D7309">
            <w:pPr>
              <w:rPr>
                <w:rFonts w:eastAsia="Calibri" w:cs="Calibri"/>
                <w:b/>
                <w:bCs/>
                <w:szCs w:val="24"/>
              </w:rPr>
            </w:pPr>
            <w:r w:rsidRPr="00D3501C">
              <w:rPr>
                <w:rFonts w:eastAsia="Calibri" w:cs="Calibri"/>
                <w:bCs/>
                <w:szCs w:val="24"/>
              </w:rPr>
              <w:t>STandUP</w:t>
            </w:r>
            <w:r w:rsidRPr="6A2D7309">
              <w:rPr>
                <w:rFonts w:eastAsia="Calibri" w:cs="Calibri"/>
                <w:b/>
                <w:bCs/>
                <w:szCs w:val="24"/>
              </w:rPr>
              <w:t>:</w:t>
            </w:r>
          </w:p>
          <w:p w14:paraId="2DC15638" w14:textId="2821457C" w:rsidR="1EA70E54" w:rsidRDefault="6A2D7309" w:rsidP="6A2D7309">
            <w:pPr>
              <w:rPr>
                <w:rFonts w:eastAsia="Calibri" w:cs="Calibri"/>
                <w:szCs w:val="24"/>
              </w:rPr>
            </w:pPr>
            <w:r w:rsidRPr="6A2D7309">
              <w:rPr>
                <w:rFonts w:eastAsia="Calibri" w:cs="Calibri"/>
                <w:szCs w:val="24"/>
              </w:rPr>
              <w:t xml:space="preserve">STandUP is a research alliance between Uppsala University, KTH, The Swedish University of Agricultural Sciences and Luleå University of Technology that began to receive government funding from 2009. The main mission of STandUP is to reinforce research on large-scale renewable electricity production and its integration into the electricity network, and integrate electric vehicles into the electricity system. In collaboration with industry and society, STandUP contributes to the development of technology and services for a more sustainable society in line with Agenda 2030 of UN. </w:t>
            </w:r>
          </w:p>
          <w:p w14:paraId="2FE30A69" w14:textId="70757374" w:rsidR="1EA70E54" w:rsidRDefault="6A2D7309" w:rsidP="6A2D7309">
            <w:pPr>
              <w:rPr>
                <w:rFonts w:eastAsia="Calibri" w:cs="Calibri"/>
                <w:szCs w:val="24"/>
              </w:rPr>
            </w:pPr>
            <w:r w:rsidRPr="6A2D7309">
              <w:rPr>
                <w:rFonts w:eastAsia="Calibri" w:cs="Calibri"/>
                <w:szCs w:val="24"/>
              </w:rPr>
              <w:t>One outcome of STandUP was a new applied physics lab for fundamental investigations on advanced phenomena in high voltage insulation involving new materials: nanofluids, engineered cellulose and influence on polymers in a polymer-ablation in the arc-interruption in circuit-breaker applications. In a collaboration project with ABB, a laboratory prototype for an extremely fast switch that uses magnetic forces was developed, which has eventual applications in HV DC and AC breakers. The research on energy storage systems was also started within STandUP and collaborations with Uppsala University.</w:t>
            </w:r>
          </w:p>
          <w:p w14:paraId="31B72C7A" w14:textId="1141279D" w:rsidR="1EA70E54" w:rsidRPr="00D3501C" w:rsidRDefault="6A2D7309" w:rsidP="6A2D7309">
            <w:pPr>
              <w:rPr>
                <w:rFonts w:eastAsia="Calibri" w:cs="Calibri"/>
                <w:bCs/>
                <w:szCs w:val="24"/>
              </w:rPr>
            </w:pPr>
            <w:r w:rsidRPr="00D3501C">
              <w:rPr>
                <w:rFonts w:eastAsia="Calibri" w:cs="Calibri"/>
                <w:bCs/>
                <w:szCs w:val="24"/>
              </w:rPr>
              <w:t>KIC InnoEnergy:</w:t>
            </w:r>
          </w:p>
          <w:p w14:paraId="0F48E5F3" w14:textId="502888D2" w:rsidR="1EA70E54" w:rsidRDefault="50F906C4" w:rsidP="6A2D7309">
            <w:pPr>
              <w:rPr>
                <w:rFonts w:eastAsia="Calibri" w:cs="Calibri"/>
                <w:szCs w:val="24"/>
              </w:rPr>
            </w:pPr>
            <w:r w:rsidRPr="50F906C4">
              <w:rPr>
                <w:rFonts w:eastAsia="Calibri" w:cs="Calibri"/>
                <w:szCs w:val="24"/>
              </w:rPr>
              <w:t>KTH is an active participant in EIT KIC InnoEnergy, which started in 2010 and was together with Uppsala University, ABB and Vattenfall very active partners of the Swedish node. The whole consortia consisted of 11 partner universities across Europe and many industries.  EME and EPE had a leading role in several innovation projects within KIC InnoEnergy, notable among them on Controllable and Intelligent Power Components (CiPOWER), and was also a leading partner in the coordination of the InnoEnergy PhD school. Several of our PhD students were on mobility to other research groups around the world under the mobility programme of the PhD school. SInce then, staff from EE is also coordinating and teaching the MSc program SENSE with six partner universities.</w:t>
            </w:r>
          </w:p>
          <w:p w14:paraId="244EECC6" w14:textId="1D92C53A" w:rsidR="1EA70E54" w:rsidRDefault="6A2D7309" w:rsidP="6A2D7309">
            <w:pPr>
              <w:rPr>
                <w:rFonts w:eastAsia="Calibri" w:cs="Calibri"/>
                <w:b/>
                <w:bCs/>
                <w:szCs w:val="24"/>
              </w:rPr>
            </w:pPr>
            <w:r w:rsidRPr="00D3501C">
              <w:rPr>
                <w:rFonts w:eastAsia="Calibri" w:cs="Calibri"/>
                <w:bCs/>
                <w:szCs w:val="24"/>
              </w:rPr>
              <w:lastRenderedPageBreak/>
              <w:t>SweGRIDS</w:t>
            </w:r>
            <w:r w:rsidRPr="6A2D7309">
              <w:rPr>
                <w:rFonts w:eastAsia="Calibri" w:cs="Calibri"/>
                <w:b/>
                <w:bCs/>
                <w:szCs w:val="24"/>
              </w:rPr>
              <w:t>:</w:t>
            </w:r>
          </w:p>
          <w:p w14:paraId="6098C1D3" w14:textId="706E14F6" w:rsidR="1EA70E54" w:rsidRDefault="492E8A79" w:rsidP="6A2D7309">
            <w:pPr>
              <w:rPr>
                <w:rFonts w:eastAsia="Calibri" w:cs="Calibri"/>
                <w:szCs w:val="24"/>
              </w:rPr>
            </w:pPr>
            <w:r w:rsidRPr="492E8A79">
              <w:rPr>
                <w:rFonts w:eastAsia="Calibri" w:cs="Calibri"/>
                <w:szCs w:val="24"/>
              </w:rPr>
              <w:t xml:space="preserve">SweGRIDS, the Swedish Centre for Smart Grids and Energy Storage was started in December 2011, as a partnership of academia, industry, and energy agency (Triple Helix model). The main partners of SweGRIDS are the universities KTH and Uppsala University, the power equipment manufacturing company ABB, the public utilities Vattenfall, Ellevio, and E.ON, Swedish National Grid company, Svenska kraftnät (SvK), the material manufacturing companies Höganäs and FoV Fabrics, and the Swedish Energy Agency. The yearly cash funding to SweGRIDS is on average 30 million SEK. The mandate of SweGRIDS is to develop new and improved devices and methods that will help achieve Sweden’s and the European Union’s ambitious targets for greater use of renewable energy sources and improved energy efficiency. SweGRIDS brings together various disciplinary areas like power systems, electromagnetics, material, physics, and information technology for a common purpose. Flexible power systems, digitalization of power grids, controllable power components, and new materials for electric grids and storage are the main topics of research. There are currently around 30 research projects in SweGRIDS, each involving industrial and academic researchers working with a PhD student or PostDoc. SweGRIDS is primarily managed from </w:t>
            </w:r>
            <w:r w:rsidRPr="00D3501C">
              <w:rPr>
                <w:rFonts w:eastAsia="Calibri" w:cs="Calibri"/>
                <w:bCs/>
                <w:szCs w:val="24"/>
              </w:rPr>
              <w:t>EME</w:t>
            </w:r>
            <w:r w:rsidRPr="492E8A79">
              <w:rPr>
                <w:rFonts w:eastAsia="Calibri" w:cs="Calibri"/>
                <w:szCs w:val="24"/>
              </w:rPr>
              <w:t>. SweGRIDS also provides additional funding for its students up to 6 months research training visit to anywhere around the world.</w:t>
            </w:r>
          </w:p>
          <w:p w14:paraId="68977F01" w14:textId="2951A562" w:rsidR="492E8A79" w:rsidRPr="00D3501C" w:rsidRDefault="492E8A79" w:rsidP="492E8A79">
            <w:pPr>
              <w:spacing w:after="0" w:line="259" w:lineRule="auto"/>
              <w:rPr>
                <w:rFonts w:cs="Calibri"/>
                <w:lang w:val="en-US"/>
              </w:rPr>
            </w:pPr>
            <w:r w:rsidRPr="00D3501C">
              <w:rPr>
                <w:rFonts w:cs="Calibri"/>
                <w:bCs/>
                <w:lang w:val="en-US"/>
              </w:rPr>
              <w:t xml:space="preserve">Swedish Electromobility Center </w:t>
            </w:r>
          </w:p>
          <w:p w14:paraId="5F9E17FC" w14:textId="7CC2328B" w:rsidR="492E8A79" w:rsidRDefault="492E8A79" w:rsidP="492E8A79">
            <w:pPr>
              <w:pStyle w:val="Heading1"/>
              <w:rPr>
                <w:rFonts w:ascii="Calibri" w:eastAsia="Calibri" w:hAnsi="Calibri" w:cs="Calibri"/>
                <w:b w:val="0"/>
                <w:bCs w:val="0"/>
                <w:i/>
                <w:iCs/>
                <w:color w:val="262626" w:themeColor="text1" w:themeTint="D9"/>
              </w:rPr>
            </w:pPr>
            <w:r w:rsidRPr="492E8A79">
              <w:rPr>
                <w:rFonts w:ascii="Calibri" w:eastAsia="Calibri" w:hAnsi="Calibri" w:cs="Calibri"/>
                <w:b w:val="0"/>
                <w:bCs w:val="0"/>
              </w:rPr>
              <w:t xml:space="preserve">The Swedish Electromobility Centre is a national Centre of Excellence, founded in 2007, for electric and hybrid vehicles and infrastructure. It unites Swedish e-mobility expertise and are a node for interaction between academia, industry and society. KTH is deeply involved in the centre with </w:t>
            </w:r>
            <w:hyperlink r:id="rId40">
              <w:r w:rsidRPr="492E8A79">
                <w:rPr>
                  <w:rStyle w:val="BodyTextChar"/>
                  <w:rFonts w:ascii="Calibri" w:eastAsia="Calibri" w:hAnsi="Calibri" w:cs="Calibri"/>
                  <w:b w:val="0"/>
                  <w:bCs w:val="0"/>
                  <w:lang w:val="en-US"/>
                </w:rPr>
                <w:t>Oskar</w:t>
              </w:r>
            </w:hyperlink>
            <w:r w:rsidRPr="492E8A79">
              <w:rPr>
                <w:rFonts w:ascii="Calibri" w:eastAsia="Calibri" w:hAnsi="Calibri" w:cs="Calibri"/>
                <w:b w:val="0"/>
                <w:bCs w:val="0"/>
                <w:color w:val="262626" w:themeColor="text1" w:themeTint="D9"/>
                <w:szCs w:val="24"/>
                <w:lang w:val="en-US"/>
              </w:rPr>
              <w:t xml:space="preserve"> Wallmark</w:t>
            </w:r>
            <w:r w:rsidRPr="492E8A79">
              <w:rPr>
                <w:rFonts w:ascii="Calibri" w:eastAsia="Calibri" w:hAnsi="Calibri" w:cs="Calibri"/>
                <w:b w:val="0"/>
                <w:bCs w:val="0"/>
              </w:rPr>
              <w:t xml:space="preserve">   from the KTH electric machines and drives group being the SEC thematic leader for the theme: </w:t>
            </w:r>
            <w:r w:rsidRPr="492E8A79">
              <w:rPr>
                <w:rFonts w:ascii="Calibri" w:eastAsia="Calibri" w:hAnsi="Calibri" w:cs="Calibri"/>
                <w:b w:val="0"/>
                <w:bCs w:val="0"/>
                <w:i/>
                <w:iCs/>
                <w:color w:val="262626" w:themeColor="text1" w:themeTint="D9"/>
              </w:rPr>
              <w:t>Electrical machines, drive systems and charging</w:t>
            </w:r>
          </w:p>
          <w:p w14:paraId="0C4431E7" w14:textId="62BF869A" w:rsidR="1EA70E54" w:rsidRPr="00D3501C" w:rsidRDefault="6A2D7309" w:rsidP="6A2D7309">
            <w:pPr>
              <w:rPr>
                <w:rFonts w:eastAsia="Calibri" w:cs="Calibri"/>
                <w:bCs/>
                <w:szCs w:val="24"/>
              </w:rPr>
            </w:pPr>
            <w:r w:rsidRPr="00D3501C">
              <w:rPr>
                <w:rFonts w:eastAsia="Calibri" w:cs="Calibri"/>
                <w:bCs/>
                <w:szCs w:val="24"/>
              </w:rPr>
              <w:t>CHASE and CHASE-ON:</w:t>
            </w:r>
          </w:p>
          <w:p w14:paraId="3E73AF9D" w14:textId="18929E81" w:rsidR="1EA70E54" w:rsidRDefault="6A2D7309" w:rsidP="6A2D7309">
            <w:pPr>
              <w:rPr>
                <w:rFonts w:eastAsia="Calibri" w:cs="Calibri"/>
                <w:szCs w:val="24"/>
              </w:rPr>
            </w:pPr>
            <w:r w:rsidRPr="6A2D7309">
              <w:rPr>
                <w:rFonts w:eastAsia="Calibri" w:cs="Calibri"/>
                <w:szCs w:val="24"/>
              </w:rPr>
              <w:t xml:space="preserve">Chase and its later form ChaseOn are funded by Vinnova and has been running since 2012. It is a collaboration between Chalmers, KTH, SP/RISE and a large number of industrial partners. For KTH's part, our main industrial partners are Ericsson Research, SAAB, RUAG and Keysight. The goal of our projects in Chase was on wideband arrays with large scan-range and resulted in two patents on wideband arrays with Ericsson Research. It also resulted in a number of published papers and results on array antennas, like the array figure of merit. The research in ChaseOn is on highly integrated antennas in the &gt;20GHz range.  The group in </w:t>
            </w:r>
            <w:r w:rsidRPr="00D3501C">
              <w:rPr>
                <w:rFonts w:eastAsia="Calibri" w:cs="Calibri"/>
                <w:bCs/>
                <w:szCs w:val="24"/>
              </w:rPr>
              <w:t>EME</w:t>
            </w:r>
            <w:r w:rsidRPr="6A2D7309">
              <w:rPr>
                <w:rFonts w:eastAsia="Calibri" w:cs="Calibri"/>
                <w:szCs w:val="24"/>
              </w:rPr>
              <w:t xml:space="preserve"> are also participating in the SSF-project on "Complex analysis and convex optimization for EM design" for 5 years with Lund University, Växjö University and Stockholm University. This project resulted in the multi-disciplinary work between mathematics, physics and electrical engineering for optimal antennas.</w:t>
            </w:r>
          </w:p>
          <w:p w14:paraId="1F8AC187" w14:textId="54A012B0" w:rsidR="1EA70E54" w:rsidRPr="00D3501C" w:rsidRDefault="6A2D7309" w:rsidP="6A2D7309">
            <w:pPr>
              <w:rPr>
                <w:rFonts w:eastAsia="Calibri" w:cs="Calibri"/>
                <w:bCs/>
                <w:szCs w:val="24"/>
              </w:rPr>
            </w:pPr>
            <w:r w:rsidRPr="00D3501C">
              <w:rPr>
                <w:rFonts w:eastAsia="Calibri" w:cs="Calibri"/>
                <w:bCs/>
                <w:szCs w:val="24"/>
              </w:rPr>
              <w:t>Antennas for 5G and space applications:</w:t>
            </w:r>
          </w:p>
          <w:p w14:paraId="41C4E341" w14:textId="4CF2F9CD" w:rsidR="1EA70E54" w:rsidRDefault="492E8A79" w:rsidP="6A2D7309">
            <w:pPr>
              <w:rPr>
                <w:rFonts w:eastAsia="Calibri" w:cs="Calibri"/>
                <w:szCs w:val="24"/>
              </w:rPr>
            </w:pPr>
            <w:r w:rsidRPr="492E8A79">
              <w:rPr>
                <w:rFonts w:eastAsia="Calibri" w:cs="Calibri"/>
                <w:szCs w:val="24"/>
              </w:rPr>
              <w:t xml:space="preserve">At the present </w:t>
            </w:r>
            <w:r w:rsidRPr="00D3501C">
              <w:rPr>
                <w:rFonts w:eastAsia="Calibri" w:cs="Calibri"/>
                <w:bCs/>
                <w:szCs w:val="24"/>
              </w:rPr>
              <w:t>EME</w:t>
            </w:r>
            <w:r w:rsidRPr="492E8A79">
              <w:rPr>
                <w:rFonts w:eastAsia="Calibri" w:cs="Calibri"/>
                <w:szCs w:val="24"/>
              </w:rPr>
              <w:t xml:space="preserve"> has an active collaboration with Ericsson AB on millimetre waves integrated antennas and circuits for in 5G communications and beyond. This collaboration is co-funded by two Vinnova projects and by the European Space Agency (ESA). One of the two Vinnova projects includes participation of two industrial partners: </w:t>
            </w:r>
            <w:r w:rsidRPr="492E8A79">
              <w:rPr>
                <w:rFonts w:eastAsia="Calibri" w:cs="Calibri"/>
                <w:szCs w:val="24"/>
              </w:rPr>
              <w:lastRenderedPageBreak/>
              <w:t>Sunway Communications and Digital Metal.  Additionally, EME has an active project funded by the ESA, including participation of two Swedish industrial partners: Forsway and ReQuTech. This project has the aim to produce innovative cost-effective lens antennas at Ka-band for future satellite communications (with LEO satellites) from vehicles-on-the-move, such as trains and buses. As a result of the success, ESA has signed a contract for manufacturing a prototype at EME lab facilities and subsequent transfer of technology.</w:t>
            </w:r>
          </w:p>
          <w:p w14:paraId="104A5DEF" w14:textId="3C74BC87" w:rsidR="492E8A79" w:rsidRPr="00D3501C" w:rsidRDefault="492E8A79" w:rsidP="492E8A79">
            <w:pPr>
              <w:spacing w:after="0" w:line="259" w:lineRule="auto"/>
              <w:rPr>
                <w:rFonts w:eastAsia="Calibri" w:cs="Calibri"/>
                <w:bCs/>
                <w:color w:val="333333"/>
                <w:szCs w:val="24"/>
              </w:rPr>
            </w:pPr>
            <w:r w:rsidRPr="00D3501C">
              <w:rPr>
                <w:rFonts w:eastAsia="Calibri" w:cs="Calibri"/>
                <w:bCs/>
                <w:szCs w:val="24"/>
              </w:rPr>
              <w:t>SiNano Institute</w:t>
            </w:r>
          </w:p>
          <w:p w14:paraId="4AB8D524" w14:textId="37CCEB3B" w:rsidR="492E8A79" w:rsidRDefault="492E8A79" w:rsidP="492E8A79">
            <w:pPr>
              <w:spacing w:after="0" w:line="259" w:lineRule="auto"/>
              <w:rPr>
                <w:rFonts w:eastAsia="Calibri" w:cs="Calibri"/>
                <w:b/>
                <w:bCs/>
                <w:szCs w:val="24"/>
              </w:rPr>
            </w:pPr>
          </w:p>
          <w:p w14:paraId="1F39DA5F" w14:textId="49491467" w:rsidR="49CB27EE" w:rsidRDefault="492E8A79" w:rsidP="492E8A79">
            <w:pPr>
              <w:pStyle w:val="BodyText"/>
              <w:rPr>
                <w:rFonts w:eastAsia="Calibri" w:cs="Calibri"/>
                <w:szCs w:val="24"/>
              </w:rPr>
            </w:pPr>
            <w:r w:rsidRPr="492E8A79">
              <w:rPr>
                <w:rFonts w:eastAsia="Calibri" w:cs="Calibri"/>
                <w:szCs w:val="24"/>
              </w:rPr>
              <w:t xml:space="preserve"> Since 2008 EES is a member of the SiNano Institute. SiNano is a non-profit association established as a durable EU Network of researchers in order to form a distributed Centre of Excellence in the nanoelectronics domain, without about 20 academic partners. The objectives are to promote research, development and cooperation in order to strengthen the international impact of European activities in nanoelectronics.</w:t>
            </w:r>
          </w:p>
          <w:p w14:paraId="3F6EA603" w14:textId="39C97ACD" w:rsidR="49CB27EE" w:rsidRPr="00D3501C" w:rsidRDefault="492E8A79" w:rsidP="492E8A79">
            <w:pPr>
              <w:pStyle w:val="BodyText"/>
              <w:rPr>
                <w:rFonts w:eastAsia="Calibri" w:cs="Calibri"/>
                <w:bCs/>
                <w:szCs w:val="24"/>
              </w:rPr>
            </w:pPr>
            <w:r w:rsidRPr="00D3501C">
              <w:rPr>
                <w:rFonts w:eastAsia="Calibri" w:cs="Calibri"/>
                <w:bCs/>
                <w:szCs w:val="24"/>
              </w:rPr>
              <w:t>Brazilian Partner Universities</w:t>
            </w:r>
          </w:p>
          <w:p w14:paraId="4950726B" w14:textId="0D226120" w:rsidR="49CB27EE" w:rsidRDefault="492E8A79" w:rsidP="492E8A79">
            <w:pPr>
              <w:pStyle w:val="BodyText"/>
              <w:rPr>
                <w:rFonts w:eastAsia="Calibri" w:cs="Calibri"/>
                <w:szCs w:val="24"/>
              </w:rPr>
            </w:pPr>
            <w:r w:rsidRPr="492E8A79">
              <w:rPr>
                <w:rFonts w:eastAsia="Calibri" w:cs="Calibri"/>
                <w:szCs w:val="24"/>
              </w:rPr>
              <w:t xml:space="preserve">In the embedded systems software area, we have connections to two Brazilian universities with strong interest from companies in the aviation industry, like Saab AB. Through this network we have recruited several PhD candidates and postdocs. The activity also includes joint courses on the master level. </w:t>
            </w:r>
          </w:p>
          <w:p w14:paraId="518CA6D5" w14:textId="47477AF5" w:rsidR="49CB27EE" w:rsidRPr="00D3501C" w:rsidRDefault="492E8A79" w:rsidP="492E8A79">
            <w:pPr>
              <w:pStyle w:val="BodyText"/>
              <w:rPr>
                <w:rFonts w:eastAsia="Calibri" w:cs="Calibri"/>
                <w:bCs/>
                <w:szCs w:val="24"/>
              </w:rPr>
            </w:pPr>
            <w:r w:rsidRPr="00D3501C">
              <w:rPr>
                <w:rFonts w:eastAsia="Calibri" w:cs="Calibri"/>
                <w:bCs/>
                <w:szCs w:val="24"/>
              </w:rPr>
              <w:t>Cadence Academic Network</w:t>
            </w:r>
          </w:p>
          <w:p w14:paraId="1117931B" w14:textId="558003E1" w:rsidR="49CB27EE" w:rsidRDefault="492E8A79" w:rsidP="492E8A79">
            <w:pPr>
              <w:rPr>
                <w:rFonts w:eastAsia="Calibri" w:cs="Calibri"/>
                <w:color w:val="262626" w:themeColor="text1" w:themeTint="D9"/>
                <w:szCs w:val="24"/>
              </w:rPr>
            </w:pPr>
            <w:r w:rsidRPr="492E8A79">
              <w:rPr>
                <w:rFonts w:eastAsia="Calibri" w:cs="Calibri"/>
                <w:color w:val="262626" w:themeColor="text1" w:themeTint="D9"/>
              </w:rPr>
              <w:t>KTH is Lead Institution in Wireless Radio and RF Design Methodology within the Cadence Academic Network.  The aim is to promote the proliferation of leading-edge technologies and methodologies at universities renowned for their engineering and design excellence. The knowledge network was established to facilitate the sharing of technology expertise in the areas of verification, design and implementation of microelectronic systems.</w:t>
            </w:r>
          </w:p>
          <w:p w14:paraId="6E769E54" w14:textId="3DFAF8E5" w:rsidR="49CB27EE" w:rsidRPr="00D3501C" w:rsidRDefault="492E8A79" w:rsidP="492E8A79">
            <w:pPr>
              <w:pStyle w:val="BodyText"/>
              <w:rPr>
                <w:rFonts w:eastAsia="Calibri" w:cs="Calibri"/>
                <w:bCs/>
                <w:szCs w:val="24"/>
              </w:rPr>
            </w:pPr>
            <w:r w:rsidRPr="00D3501C">
              <w:rPr>
                <w:rFonts w:eastAsia="Calibri" w:cs="Calibri"/>
                <w:bCs/>
                <w:szCs w:val="24"/>
              </w:rPr>
              <w:t>High-temperature Silicon Carbide Circuit Design</w:t>
            </w:r>
          </w:p>
          <w:p w14:paraId="12E4A9C3" w14:textId="7E0458A8" w:rsidR="49CB27EE" w:rsidRDefault="06831449" w:rsidP="392DE6FE">
            <w:pPr>
              <w:pStyle w:val="BodyText"/>
              <w:rPr>
                <w:rFonts w:eastAsia="Calibri" w:cs="Calibri"/>
                <w:szCs w:val="24"/>
              </w:rPr>
            </w:pPr>
            <w:r w:rsidRPr="06831449">
              <w:rPr>
                <w:rFonts w:eastAsia="Calibri" w:cs="Calibri"/>
                <w:szCs w:val="24"/>
              </w:rPr>
              <w:t xml:space="preserve">On the national level we (EES) have recently (2019) concluded a large project “Working on Venus” funded by the Wallenberg Foundation. In this project several divisions at KTH worked together with Linköping University on Silicon Carbide high temperature electronics for Venus exploration. During the project we also established a connection with Prof Mantooth, </w:t>
            </w:r>
            <w:r w:rsidRPr="06831449">
              <w:rPr>
                <w:rFonts w:eastAsia="Calibri" w:cs="Calibri"/>
                <w:color w:val="333333"/>
                <w:szCs w:val="24"/>
              </w:rPr>
              <w:t xml:space="preserve">National Center for Reliable </w:t>
            </w:r>
            <w:hyperlink r:id="rId41">
              <w:r w:rsidRPr="06831449">
                <w:rPr>
                  <w:rStyle w:val="Hyperlink"/>
                  <w:rFonts w:eastAsia="Calibri" w:cs="Calibri"/>
                  <w:color w:val="333333"/>
                  <w:szCs w:val="24"/>
                  <w:u w:val="none"/>
                </w:rPr>
                <w:t>Electric Power Transmission</w:t>
              </w:r>
            </w:hyperlink>
            <w:r w:rsidRPr="06831449">
              <w:rPr>
                <w:rFonts w:eastAsia="Calibri" w:cs="Calibri"/>
                <w:color w:val="333333"/>
                <w:szCs w:val="24"/>
              </w:rPr>
              <w:t xml:space="preserve">, University of Arkansas. </w:t>
            </w:r>
          </w:p>
          <w:p w14:paraId="5B8D637D" w14:textId="1EC3837E" w:rsidR="06831449" w:rsidRPr="00D3501C" w:rsidRDefault="06831449" w:rsidP="06831449">
            <w:pPr>
              <w:pStyle w:val="BodyText"/>
              <w:rPr>
                <w:rFonts w:eastAsia="Calibri" w:cs="Calibri"/>
                <w:bCs/>
                <w:szCs w:val="24"/>
              </w:rPr>
            </w:pPr>
            <w:r w:rsidRPr="00D3501C">
              <w:rPr>
                <w:rFonts w:eastAsia="Calibri" w:cs="Calibri"/>
                <w:bCs/>
                <w:szCs w:val="24"/>
              </w:rPr>
              <w:t>EUROfusion Consortium</w:t>
            </w:r>
          </w:p>
          <w:p w14:paraId="51A8B9C6" w14:textId="63A37BC9" w:rsidR="49CB27EE" w:rsidRPr="00D3501C" w:rsidRDefault="06831449" w:rsidP="06831449">
            <w:pPr>
              <w:pStyle w:val="BodyText"/>
              <w:rPr>
                <w:rFonts w:eastAsia="Calibri" w:cs="Calibri"/>
                <w:bCs/>
                <w:szCs w:val="24"/>
              </w:rPr>
            </w:pPr>
            <w:r w:rsidRPr="06831449">
              <w:rPr>
                <w:rFonts w:eastAsia="Calibri" w:cs="Calibri"/>
                <w:szCs w:val="24"/>
              </w:rPr>
              <w:t xml:space="preserve">The research </w:t>
            </w:r>
            <w:r w:rsidRPr="00D3501C">
              <w:rPr>
                <w:rFonts w:eastAsia="Calibri" w:cs="Calibri"/>
                <w:szCs w:val="24"/>
              </w:rPr>
              <w:t xml:space="preserve">at </w:t>
            </w:r>
            <w:r w:rsidRPr="00D3501C">
              <w:rPr>
                <w:rFonts w:eastAsia="Calibri" w:cs="Calibri"/>
                <w:bCs/>
                <w:szCs w:val="24"/>
              </w:rPr>
              <w:t>FPP</w:t>
            </w:r>
            <w:r w:rsidR="00D3501C">
              <w:rPr>
                <w:rFonts w:eastAsia="Calibri" w:cs="Calibri"/>
                <w:bCs/>
                <w:szCs w:val="24"/>
              </w:rPr>
              <w:t>,</w:t>
            </w:r>
            <w:r w:rsidRPr="00D3501C">
              <w:rPr>
                <w:rFonts w:eastAsia="Calibri" w:cs="Calibri"/>
                <w:szCs w:val="24"/>
              </w:rPr>
              <w:t xml:space="preserve"> and the</w:t>
            </w:r>
            <w:r w:rsidRPr="00D3501C">
              <w:rPr>
                <w:rFonts w:eastAsia="Calibri" w:cs="Calibri"/>
                <w:i/>
                <w:iCs/>
                <w:szCs w:val="24"/>
              </w:rPr>
              <w:t xml:space="preserve"> </w:t>
            </w:r>
            <w:r w:rsidRPr="00D3501C">
              <w:rPr>
                <w:rFonts w:eastAsia="Calibri" w:cs="Calibri"/>
                <w:bCs/>
                <w:szCs w:val="24"/>
              </w:rPr>
              <w:t>SPP</w:t>
            </w:r>
            <w:r w:rsidRPr="06831449">
              <w:rPr>
                <w:rFonts w:eastAsia="Calibri" w:cs="Calibri"/>
                <w:b/>
                <w:bCs/>
                <w:szCs w:val="24"/>
              </w:rPr>
              <w:t xml:space="preserve"> </w:t>
            </w:r>
            <w:r w:rsidRPr="06831449">
              <w:rPr>
                <w:rFonts w:eastAsia="Calibri" w:cs="Calibri"/>
                <w:i/>
                <w:iCs/>
                <w:szCs w:val="24"/>
              </w:rPr>
              <w:t>Complex Plasma Group</w:t>
            </w:r>
            <w:r w:rsidRPr="06831449">
              <w:rPr>
                <w:rFonts w:eastAsia="Calibri" w:cs="Calibri"/>
                <w:szCs w:val="24"/>
              </w:rPr>
              <w:t xml:space="preserve"> is highly integrated in the joint programme of the</w:t>
            </w:r>
            <w:r w:rsidR="00D3501C">
              <w:rPr>
                <w:rFonts w:eastAsia="Calibri" w:cs="Calibri"/>
                <w:szCs w:val="24"/>
              </w:rPr>
              <w:t xml:space="preserve"> </w:t>
            </w:r>
            <w:r w:rsidR="00D3501C" w:rsidRPr="00D3501C">
              <w:rPr>
                <w:rFonts w:eastAsia="Calibri" w:cs="Calibri"/>
                <w:bCs/>
                <w:szCs w:val="24"/>
              </w:rPr>
              <w:t>EUROfusion Consortium</w:t>
            </w:r>
            <w:r w:rsidRPr="06831449">
              <w:rPr>
                <w:rFonts w:eastAsia="Calibri" w:cs="Calibri"/>
                <w:szCs w:val="24"/>
              </w:rPr>
              <w:t xml:space="preserve">. The Consortium implements the European fusion research program in the H2020 framework programme through a co-fund grant from Euratom. KTH is a linked third-party member of the EUROfusion Consortium through the Swedish consortium member VR (Vetenskapsrådet - The Swedish Research Council). Through this collaboration, the Division can fully take part in the fusion research activities on the European and international arena. This mean access to a network of </w:t>
            </w:r>
            <w:r w:rsidRPr="06831449">
              <w:rPr>
                <w:rFonts w:eastAsia="Calibri" w:cs="Calibri"/>
                <w:szCs w:val="24"/>
              </w:rPr>
              <w:lastRenderedPageBreak/>
              <w:t xml:space="preserve">researchers for collaboration and expertise, access to research facilities like the large JET Tokamak, a number of medium-sized fusion facilities MAST-U, ASDEX-Upgrade, TCV, Wendelstein-7X and also to the financial support instruments of the EUROfusion Consortium. </w:t>
            </w:r>
          </w:p>
          <w:p w14:paraId="402304EB" w14:textId="28F020DA" w:rsidR="49CB27EE" w:rsidRPr="00D3501C" w:rsidRDefault="50F906C4" w:rsidP="06831449">
            <w:pPr>
              <w:pStyle w:val="BodyText"/>
              <w:rPr>
                <w:rFonts w:eastAsia="Calibri" w:cs="Calibri"/>
                <w:bCs/>
                <w:szCs w:val="24"/>
                <w:lang w:val="en-US"/>
              </w:rPr>
            </w:pPr>
            <w:r w:rsidRPr="00D3501C">
              <w:rPr>
                <w:rFonts w:eastAsia="Calibri" w:cs="Calibri"/>
                <w:bCs/>
                <w:szCs w:val="24"/>
                <w:lang w:val="en-US"/>
              </w:rPr>
              <w:t>International Tokamak Physics Activity (ITPA) and ITER organisation</w:t>
            </w:r>
          </w:p>
          <w:p w14:paraId="75DD04AD" w14:textId="374DA1EF" w:rsidR="49CB27EE" w:rsidRDefault="50F906C4" w:rsidP="06831449">
            <w:pPr>
              <w:pStyle w:val="BodyText"/>
              <w:rPr>
                <w:rFonts w:eastAsia="Calibri" w:cs="Calibri"/>
                <w:szCs w:val="24"/>
              </w:rPr>
            </w:pPr>
            <w:r w:rsidRPr="50F906C4">
              <w:rPr>
                <w:rFonts w:eastAsia="Calibri" w:cs="Calibri"/>
                <w:szCs w:val="24"/>
                <w:lang w:val="en-US"/>
              </w:rPr>
              <w:t xml:space="preserve">The Division is contributing to the </w:t>
            </w:r>
            <w:r w:rsidRPr="50F906C4">
              <w:rPr>
                <w:rFonts w:eastAsia="Calibri" w:cs="Calibri"/>
                <w:i/>
                <w:iCs/>
                <w:szCs w:val="24"/>
                <w:lang w:val="en-US"/>
              </w:rPr>
              <w:t>International Tokamak Physics Activity (ITPA)</w:t>
            </w:r>
            <w:r w:rsidRPr="50F906C4">
              <w:rPr>
                <w:rFonts w:eastAsia="Calibri" w:cs="Calibri"/>
                <w:szCs w:val="24"/>
                <w:lang w:val="en-US"/>
              </w:rPr>
              <w:t xml:space="preserve"> working groups, for example, L. Frassinetti is an active member of the ITPA Pedestal and Edge Physics group, and arranged a ITPA-PEP group meeting recently at KTH. </w:t>
            </w:r>
            <w:r w:rsidRPr="50F906C4">
              <w:rPr>
                <w:rFonts w:eastAsia="Calibri" w:cs="Calibri"/>
                <w:szCs w:val="24"/>
              </w:rPr>
              <w:t xml:space="preserve">The Division has a close collaboration with the </w:t>
            </w:r>
            <w:r w:rsidRPr="50F906C4">
              <w:rPr>
                <w:rFonts w:eastAsia="Calibri" w:cs="Calibri"/>
                <w:i/>
                <w:iCs/>
                <w:szCs w:val="24"/>
              </w:rPr>
              <w:t>ITER Organisation</w:t>
            </w:r>
            <w:r w:rsidRPr="50F906C4">
              <w:rPr>
                <w:rFonts w:eastAsia="Calibri" w:cs="Calibri"/>
                <w:szCs w:val="24"/>
              </w:rPr>
              <w:t xml:space="preserve"> on integrated modelling (T. Johnson is an ITER-Science Fellow in Integrated Modelling). </w:t>
            </w:r>
          </w:p>
          <w:p w14:paraId="3CF4A30A" w14:textId="708F7FA5" w:rsidR="49CB27EE" w:rsidRPr="00D3501C" w:rsidRDefault="50F906C4" w:rsidP="06831449">
            <w:pPr>
              <w:pStyle w:val="BodyText"/>
              <w:rPr>
                <w:rFonts w:eastAsia="Calibri" w:cs="Calibri"/>
                <w:bCs/>
                <w:szCs w:val="24"/>
              </w:rPr>
            </w:pPr>
            <w:r w:rsidRPr="00D3501C">
              <w:rPr>
                <w:rFonts w:eastAsia="Calibri" w:cs="Calibri"/>
                <w:bCs/>
                <w:szCs w:val="24"/>
              </w:rPr>
              <w:t>International Fusion Material Irradiation Facility (IFMIF), other Japense and Chinese Collaborations</w:t>
            </w:r>
          </w:p>
          <w:p w14:paraId="3195E561" w14:textId="19EF14C4" w:rsidR="49CB27EE" w:rsidRDefault="50F906C4" w:rsidP="06831449">
            <w:pPr>
              <w:pStyle w:val="BodyText"/>
              <w:rPr>
                <w:rFonts w:eastAsia="Calibri" w:cs="Calibri"/>
                <w:szCs w:val="24"/>
              </w:rPr>
            </w:pPr>
            <w:r w:rsidRPr="50F906C4">
              <w:rPr>
                <w:rFonts w:eastAsia="Calibri" w:cs="Calibri"/>
                <w:szCs w:val="24"/>
              </w:rPr>
              <w:t xml:space="preserve">Researchers at the Division participates in the European-Japanese </w:t>
            </w:r>
            <w:r w:rsidRPr="50F906C4">
              <w:rPr>
                <w:rFonts w:eastAsia="Calibri" w:cs="Calibri"/>
                <w:i/>
                <w:iCs/>
                <w:szCs w:val="24"/>
              </w:rPr>
              <w:t>Broader Approach</w:t>
            </w:r>
            <w:r w:rsidRPr="50F906C4">
              <w:rPr>
                <w:rFonts w:eastAsia="Calibri" w:cs="Calibri"/>
                <w:szCs w:val="24"/>
              </w:rPr>
              <w:t xml:space="preserve"> Work Programme with involvement in the </w:t>
            </w:r>
            <w:r w:rsidRPr="50F906C4">
              <w:rPr>
                <w:rFonts w:eastAsia="Calibri" w:cs="Calibri"/>
                <w:i/>
                <w:iCs/>
                <w:szCs w:val="24"/>
              </w:rPr>
              <w:t>International Fusion Material Irradiation Facility (IFMIF)</w:t>
            </w:r>
            <w:r w:rsidRPr="50F906C4">
              <w:rPr>
                <w:rFonts w:eastAsia="Calibri" w:cs="Calibri"/>
                <w:szCs w:val="24"/>
              </w:rPr>
              <w:t xml:space="preserve"> Project Committee, and  </w:t>
            </w:r>
            <w:r w:rsidRPr="50F906C4">
              <w:rPr>
                <w:rFonts w:eastAsia="Calibri" w:cs="Calibri"/>
                <w:i/>
                <w:iCs/>
                <w:szCs w:val="24"/>
              </w:rPr>
              <w:t>Material studies at International Fusion Energy Research Centre (IFERC)</w:t>
            </w:r>
            <w:r w:rsidRPr="50F906C4">
              <w:rPr>
                <w:rFonts w:eastAsia="Calibri" w:cs="Calibri"/>
                <w:szCs w:val="24"/>
              </w:rPr>
              <w:t xml:space="preserve"> in Rokkasho, Japan. Recently a MoU was signed between KTH and </w:t>
            </w:r>
            <w:r w:rsidRPr="50F906C4">
              <w:rPr>
                <w:rFonts w:eastAsia="Calibri" w:cs="Calibri"/>
                <w:i/>
                <w:iCs/>
                <w:szCs w:val="24"/>
              </w:rPr>
              <w:t>Chinese Academy of Sciences Institute of Plasma Physics (ASIPP)</w:t>
            </w:r>
            <w:r w:rsidRPr="50F906C4">
              <w:rPr>
                <w:rFonts w:eastAsia="Calibri" w:cs="Calibri"/>
                <w:szCs w:val="24"/>
              </w:rPr>
              <w:t xml:space="preserve"> for collaboration on fusion research. </w:t>
            </w:r>
          </w:p>
          <w:p w14:paraId="0D4B082B" w14:textId="3AA2E237" w:rsidR="49CB27EE" w:rsidRPr="00D3501C" w:rsidRDefault="50F906C4" w:rsidP="06831449">
            <w:pPr>
              <w:pStyle w:val="BodyText"/>
              <w:rPr>
                <w:rFonts w:eastAsia="Calibri" w:cs="Calibri"/>
                <w:bCs/>
                <w:szCs w:val="24"/>
              </w:rPr>
            </w:pPr>
            <w:r w:rsidRPr="00D3501C">
              <w:rPr>
                <w:rFonts w:eastAsia="Calibri" w:cs="Calibri"/>
                <w:bCs/>
                <w:szCs w:val="24"/>
              </w:rPr>
              <w:t>Swedish Fusion Research Unit</w:t>
            </w:r>
          </w:p>
          <w:p w14:paraId="67F97EAD" w14:textId="60DF9E2C" w:rsidR="49CB27EE" w:rsidRPr="00D3501C" w:rsidRDefault="50F906C4" w:rsidP="00D3501C">
            <w:pPr>
              <w:pStyle w:val="BodyText"/>
              <w:rPr>
                <w:rFonts w:eastAsia="Calibri" w:cs="Calibri"/>
                <w:szCs w:val="24"/>
              </w:rPr>
            </w:pPr>
            <w:r w:rsidRPr="50F906C4">
              <w:rPr>
                <w:rFonts w:eastAsia="Calibri" w:cs="Calibri"/>
                <w:szCs w:val="24"/>
              </w:rPr>
              <w:t xml:space="preserve">Fusion research in Sweden is coordinated through </w:t>
            </w:r>
            <w:r w:rsidRPr="50F906C4">
              <w:rPr>
                <w:rFonts w:eastAsia="Calibri" w:cs="Calibri"/>
                <w:i/>
                <w:iCs/>
                <w:szCs w:val="24"/>
              </w:rPr>
              <w:t>the Swedish Fusion Research Unit</w:t>
            </w:r>
            <w:r w:rsidRPr="50F906C4">
              <w:rPr>
                <w:rFonts w:eastAsia="Calibri" w:cs="Calibri"/>
                <w:szCs w:val="24"/>
              </w:rPr>
              <w:t>, formed by VR together with the three linked-partner universities Chalmers, UU, KTH and Studsvik Nuclear in Nyköping.</w:t>
            </w:r>
          </w:p>
          <w:p w14:paraId="0105809A" w14:textId="2006D22C" w:rsidR="49CB27EE" w:rsidRDefault="49CB27EE" w:rsidP="49CB27EE">
            <w:pPr>
              <w:spacing w:after="0"/>
              <w:rPr>
                <w:rFonts w:cs="Calibri"/>
                <w:b/>
                <w:bCs/>
              </w:rPr>
            </w:pPr>
          </w:p>
          <w:p w14:paraId="0A538FC1" w14:textId="37DB5B68" w:rsidR="000D6B05" w:rsidRPr="0044157D" w:rsidRDefault="2BF8EF82" w:rsidP="00910D79">
            <w:pPr>
              <w:spacing w:after="120"/>
              <w:rPr>
                <w:rFonts w:cs="Calibri"/>
                <w:szCs w:val="24"/>
              </w:rPr>
            </w:pPr>
            <w:r w:rsidRPr="2BF8EF82">
              <w:rPr>
                <w:rFonts w:cs="Calibri"/>
                <w:b/>
                <w:bCs/>
              </w:rPr>
              <w:t>f.</w:t>
            </w:r>
            <w:r w:rsidRPr="2BF8EF82">
              <w:rPr>
                <w:rFonts w:cs="Calibri"/>
              </w:rPr>
              <w:t xml:space="preserve"> </w:t>
            </w:r>
            <w:r w:rsidRPr="2BF8EF82">
              <w:rPr>
                <w:rFonts w:cs="Calibri"/>
                <w:i/>
                <w:iCs/>
              </w:rPr>
              <w:t>Follow up from previous evaluations</w:t>
            </w:r>
          </w:p>
          <w:p w14:paraId="54FF469A" w14:textId="7B98405C" w:rsidR="003929D4" w:rsidRPr="0044157D" w:rsidRDefault="0B3BBCF7" w:rsidP="00910D79">
            <w:pPr>
              <w:spacing w:after="0"/>
            </w:pPr>
            <w:r w:rsidRPr="0B3BBCF7">
              <w:rPr>
                <w:rFonts w:eastAsia="Calibri" w:cs="Calibri"/>
                <w:szCs w:val="24"/>
              </w:rPr>
              <w:t>A common remark for several divisions was the recommendation, to increase international mobility of the research staff. In our opinion this situation has clearly improved over the time span 2012-2020. Both the junior and senior faculty have participated in mobility schemes to industry (in Sweden) and also internationally through e.g. Marie Curie grants. The department as a whole is relatively strong with respect to incoming adjunct faculty, we appreciate the need for a balance of outgoing faculty as well.</w:t>
            </w:r>
          </w:p>
          <w:p w14:paraId="0FBEBFD8" w14:textId="17798A5F" w:rsidR="003929D4" w:rsidRPr="0044157D" w:rsidRDefault="0B3BBCF7" w:rsidP="00910D79">
            <w:pPr>
              <w:spacing w:after="0"/>
            </w:pPr>
            <w:r w:rsidRPr="0B3BBCF7">
              <w:rPr>
                <w:rFonts w:eastAsia="Calibri" w:cs="Calibri"/>
                <w:szCs w:val="24"/>
              </w:rPr>
              <w:t>The panel got the recommendation that for tenure track positions the internal promotion should be balanced by external recruiting. Four tenure track assistant professors hired so far (2012-2020), we have two external recruitments, and two internal. In addition, we have some internal recruitments at associate professor level.  Additional recruiting at assistant professor level is ongoing.</w:t>
            </w:r>
          </w:p>
          <w:p w14:paraId="61E4BAF4" w14:textId="5B31CF92" w:rsidR="003929D4" w:rsidRPr="0044157D" w:rsidRDefault="6A2D7309" w:rsidP="6A2D7309">
            <w:pPr>
              <w:spacing w:after="0"/>
              <w:rPr>
                <w:rFonts w:eastAsia="Calibri" w:cs="Calibri"/>
                <w:szCs w:val="24"/>
              </w:rPr>
            </w:pPr>
            <w:r w:rsidRPr="6A2D7309">
              <w:rPr>
                <w:rFonts w:eastAsia="Calibri" w:cs="Calibri"/>
                <w:szCs w:val="24"/>
              </w:rPr>
              <w:t xml:space="preserve">Some divisions manage to fund permanent technical support staff for maintaining the experimental platforms. In these cases, the experimental platforms are organized as KTH infrastructures and some income for maintenance, salaries and tool upgrade is obtained from user fees (KTH and industrial users have differentiated rates). Projects are charged internally for the hourly use. </w:t>
            </w:r>
          </w:p>
          <w:p w14:paraId="4F131CC0" w14:textId="19A5C5CC" w:rsidR="6A2D7309" w:rsidRDefault="6A2D7309" w:rsidP="6A2D7309">
            <w:pPr>
              <w:spacing w:after="0"/>
              <w:rPr>
                <w:rFonts w:eastAsia="Calibri" w:cs="Calibri"/>
                <w:szCs w:val="24"/>
              </w:rPr>
            </w:pPr>
          </w:p>
          <w:p w14:paraId="2A25EF6C" w14:textId="06AAA63D" w:rsidR="003929D4" w:rsidRPr="0044157D" w:rsidRDefault="2BF8EF82" w:rsidP="00910D79">
            <w:pPr>
              <w:spacing w:after="0"/>
            </w:pPr>
            <w:r w:rsidRPr="2BF8EF82">
              <w:rPr>
                <w:rFonts w:eastAsia="Calibri" w:cs="Calibri"/>
                <w:szCs w:val="24"/>
              </w:rPr>
              <w:t>Experimental work in the electronics area now includes emerging 2D material (graphene) for e.g. printed and flexible electronics. This is a good complement to the strong experimental silicon-based activities in the cleanroom environment.</w:t>
            </w:r>
          </w:p>
          <w:p w14:paraId="0FF60764" w14:textId="3234425C" w:rsidR="003929D4" w:rsidRPr="0044157D" w:rsidRDefault="49CB27EE" w:rsidP="00910D79">
            <w:pPr>
              <w:spacing w:after="0"/>
            </w:pPr>
            <w:r w:rsidRPr="49CB27EE">
              <w:rPr>
                <w:rFonts w:eastAsia="Calibri" w:cs="Calibri"/>
                <w:szCs w:val="24"/>
              </w:rPr>
              <w:t>The organization and leadership and long-term strategies in the Electronics and Embedded Systems area has been reinforced by the merger of these units.</w:t>
            </w:r>
          </w:p>
          <w:p w14:paraId="0634BB7E" w14:textId="40A0FE34" w:rsidR="49CB27EE" w:rsidRDefault="49CB27EE" w:rsidP="49CB27EE">
            <w:pPr>
              <w:spacing w:after="0"/>
              <w:rPr>
                <w:rFonts w:eastAsia="Calibri" w:cs="Calibri"/>
                <w:szCs w:val="24"/>
              </w:rPr>
            </w:pPr>
          </w:p>
          <w:p w14:paraId="77B09677" w14:textId="470496AB" w:rsidR="49CB27EE" w:rsidRDefault="3AF71CF5" w:rsidP="3AF71CF5">
            <w:pPr>
              <w:spacing w:after="0"/>
              <w:rPr>
                <w:rFonts w:eastAsia="Calibri" w:cs="Calibri"/>
                <w:szCs w:val="24"/>
              </w:rPr>
            </w:pPr>
            <w:r w:rsidRPr="3AF71CF5">
              <w:rPr>
                <w:rFonts w:eastAsia="Calibri" w:cs="Calibri"/>
                <w:szCs w:val="24"/>
              </w:rPr>
              <w:t xml:space="preserve">The RAE 2012 panel pointed out that the fusion field is heavily dependent on the evolution and future of large-scale programs, and it is important that the group positions itself clearly in the European roadmap in a 10-year timescale. On this aspect of the panel review, the Division of Fusion Plasma Physics has had a good development. During the period 2012-2019 the Division has successfully adapted its research profile to the European fusion programme, and the research is now highly integrated in multiple work packages of the EUROfusion work programme. The Division has contributed project leader for one EUROfusion Work Package in the area of plasma wall interactions (WPJET2, M. Rubel). Further, the Division collaborates today closely with ITER organisation in the area of integrated tokamak modelling (T. Johnson). </w:t>
            </w:r>
          </w:p>
          <w:p w14:paraId="7EE60919" w14:textId="0C1D875F" w:rsidR="003929D4" w:rsidRPr="0044157D" w:rsidRDefault="6A2D7309" w:rsidP="6A2D7309">
            <w:pPr>
              <w:spacing w:after="0"/>
              <w:rPr>
                <w:rFonts w:cs="Calibri"/>
              </w:rPr>
            </w:pPr>
            <w:r w:rsidRPr="6A2D7309">
              <w:rPr>
                <w:rFonts w:cs="Calibri"/>
              </w:rPr>
              <w:t xml:space="preserve"> </w:t>
            </w:r>
          </w:p>
          <w:p w14:paraId="4AF9B1DC" w14:textId="3403E3A9" w:rsidR="003929D4" w:rsidRPr="0044157D" w:rsidRDefault="003929D4" w:rsidP="49CB27EE">
            <w:pPr>
              <w:spacing w:after="0"/>
              <w:rPr>
                <w:rFonts w:cs="Calibri"/>
              </w:rPr>
            </w:pPr>
          </w:p>
        </w:tc>
      </w:tr>
    </w:tbl>
    <w:p w14:paraId="0B857C6A" w14:textId="77777777" w:rsidR="000D6B05" w:rsidRPr="0044157D" w:rsidRDefault="000D6B05" w:rsidP="000D6B05">
      <w:pPr>
        <w:spacing w:after="0"/>
        <w:rPr>
          <w:rFonts w:cs="Calibri"/>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96"/>
      </w:tblGrid>
      <w:tr w:rsidR="000D6B05" w:rsidRPr="0044157D" w14:paraId="4E4F5AC1" w14:textId="77777777" w:rsidTr="50F906C4">
        <w:tc>
          <w:tcPr>
            <w:tcW w:w="8789" w:type="dxa"/>
            <w:shd w:val="clear" w:color="auto" w:fill="D9D9D9" w:themeFill="background1" w:themeFillShade="D9"/>
          </w:tcPr>
          <w:p w14:paraId="1B029D0A" w14:textId="4E90F7CA" w:rsidR="000D6B05" w:rsidRPr="0044157D" w:rsidRDefault="004A185D" w:rsidP="00910D79">
            <w:pPr>
              <w:spacing w:after="0"/>
              <w:rPr>
                <w:rStyle w:val="Strong"/>
                <w:rFonts w:cs="Calibri"/>
                <w:szCs w:val="24"/>
              </w:rPr>
            </w:pPr>
            <w:r>
              <w:rPr>
                <w:rStyle w:val="Strong"/>
                <w:rFonts w:cs="Calibri"/>
                <w:szCs w:val="24"/>
              </w:rPr>
              <w:t>3</w:t>
            </w:r>
            <w:r w:rsidR="000D6B05" w:rsidRPr="0044157D">
              <w:rPr>
                <w:rStyle w:val="Strong"/>
                <w:rFonts w:cs="Calibri"/>
                <w:szCs w:val="24"/>
              </w:rPr>
              <w:t xml:space="preserve">. Viability </w:t>
            </w:r>
          </w:p>
        </w:tc>
      </w:tr>
      <w:tr w:rsidR="000D6B05" w:rsidRPr="0044157D" w14:paraId="01CF6C6B" w14:textId="77777777" w:rsidTr="50F906C4">
        <w:tc>
          <w:tcPr>
            <w:tcW w:w="8789" w:type="dxa"/>
          </w:tcPr>
          <w:p w14:paraId="55597AF3" w14:textId="6FEBEE5D" w:rsidR="000D6B05" w:rsidRPr="0044157D" w:rsidRDefault="6A2D7309" w:rsidP="6A2D7309">
            <w:pPr>
              <w:spacing w:after="120"/>
              <w:rPr>
                <w:rFonts w:eastAsiaTheme="majorEastAsia" w:cs="Calibri"/>
                <w:i/>
                <w:iCs/>
              </w:rPr>
            </w:pPr>
            <w:r w:rsidRPr="6A2D7309">
              <w:rPr>
                <w:rFonts w:eastAsiaTheme="majorEastAsia" w:cs="Calibri"/>
                <w:b/>
                <w:bCs/>
              </w:rPr>
              <w:t>a.</w:t>
            </w:r>
            <w:r w:rsidRPr="6A2D7309">
              <w:rPr>
                <w:rFonts w:eastAsiaTheme="majorEastAsia" w:cs="Calibri"/>
              </w:rPr>
              <w:t xml:space="preserve"> </w:t>
            </w:r>
            <w:r w:rsidRPr="6A2D7309">
              <w:rPr>
                <w:rFonts w:cs="Calibri"/>
                <w:i/>
                <w:iCs/>
              </w:rPr>
              <w:t>Funding; internal and external</w:t>
            </w:r>
            <w:r w:rsidRPr="6A2D7309">
              <w:rPr>
                <w:rFonts w:eastAsiaTheme="majorEastAsia" w:cs="Calibri"/>
                <w:i/>
                <w:iCs/>
              </w:rPr>
              <w:t xml:space="preserve"> </w:t>
            </w:r>
          </w:p>
          <w:p w14:paraId="65330046" w14:textId="33FD566F" w:rsidR="4427EA8B" w:rsidRDefault="492E8A79">
            <w:r w:rsidRPr="492E8A79">
              <w:rPr>
                <w:rFonts w:eastAsia="Calibri" w:cs="Calibri"/>
                <w:szCs w:val="24"/>
              </w:rPr>
              <w:t xml:space="preserve">The funding of the departments’ research is in total about 55% external funding and 45% FOFU, see Fig. 3. The divisions EES, EME and EPE have roughly a 50-50 distribution, whereas FPP and SPP are more dependent on external grants. Other income is mainly to the EES division from the Electrum laboratory.    </w:t>
            </w:r>
          </w:p>
          <w:p w14:paraId="16DBEEDB" w14:textId="3F39D3CB" w:rsidR="4427EA8B" w:rsidRDefault="4427EA8B" w:rsidP="4427EA8B">
            <w:pPr>
              <w:spacing w:after="0"/>
            </w:pPr>
            <w:r>
              <w:rPr>
                <w:noProof/>
                <w:lang w:val="sv-SE" w:eastAsia="sv-SE"/>
              </w:rPr>
              <w:drawing>
                <wp:inline distT="0" distB="0" distL="0" distR="0" wp14:anchorId="19DE2AC6" wp14:editId="692712E2">
                  <wp:extent cx="4105275" cy="2867025"/>
                  <wp:effectExtent l="0" t="0" r="0" b="0"/>
                  <wp:docPr id="1002943347" name="Picture 1002943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extLst>
                              <a:ext uri="{28A0092B-C50C-407E-A947-70E740481C1C}">
                                <a14:useLocalDpi xmlns:a14="http://schemas.microsoft.com/office/drawing/2010/main" val="0"/>
                              </a:ext>
                            </a:extLst>
                          </a:blip>
                          <a:stretch>
                            <a:fillRect/>
                          </a:stretch>
                        </pic:blipFill>
                        <pic:spPr>
                          <a:xfrm>
                            <a:off x="0" y="0"/>
                            <a:ext cx="4105275" cy="2867025"/>
                          </a:xfrm>
                          <a:prstGeom prst="rect">
                            <a:avLst/>
                          </a:prstGeom>
                        </pic:spPr>
                      </pic:pic>
                    </a:graphicData>
                  </a:graphic>
                </wp:inline>
              </w:drawing>
            </w:r>
          </w:p>
          <w:p w14:paraId="75241A5E" w14:textId="66E949A5" w:rsidR="4427EA8B" w:rsidRDefault="492E8A79">
            <w:r w:rsidRPr="492E8A79">
              <w:rPr>
                <w:rFonts w:eastAsia="Calibri" w:cs="Calibri"/>
                <w:szCs w:val="24"/>
              </w:rPr>
              <w:t>Figure 3 Total research funding aggregated from all divisions at EE 2012-2018.</w:t>
            </w:r>
          </w:p>
          <w:p w14:paraId="4BE03CAE" w14:textId="3230E10E" w:rsidR="4427EA8B" w:rsidRDefault="492E8A79" w:rsidP="4427EA8B">
            <w:pPr>
              <w:rPr>
                <w:rFonts w:eastAsia="Calibri" w:cs="Calibri"/>
                <w:szCs w:val="24"/>
              </w:rPr>
            </w:pPr>
            <w:r w:rsidRPr="492E8A79">
              <w:rPr>
                <w:rFonts w:eastAsia="Calibri" w:cs="Calibri"/>
                <w:szCs w:val="24"/>
              </w:rPr>
              <w:t xml:space="preserve">More details of the research funding situation from 2018 is provided in Table 1. It is clear that the research is heavily dependent on external funding. The positive side is that we manage to attract that amount of funding from external sources, but with the </w:t>
            </w:r>
            <w:r w:rsidRPr="492E8A79">
              <w:rPr>
                <w:rFonts w:eastAsia="Calibri" w:cs="Calibri"/>
                <w:szCs w:val="24"/>
              </w:rPr>
              <w:lastRenderedPageBreak/>
              <w:t xml:space="preserve">drawback that we easily can turn into problems in case the external funding picture will change. </w:t>
            </w:r>
          </w:p>
          <w:p w14:paraId="2822C27C" w14:textId="0893FA21" w:rsidR="4427EA8B" w:rsidRDefault="492E8A79" w:rsidP="4427EA8B">
            <w:pPr>
              <w:rPr>
                <w:rFonts w:eastAsia="Calibri" w:cs="Calibri"/>
                <w:szCs w:val="24"/>
              </w:rPr>
            </w:pPr>
            <w:r w:rsidRPr="492E8A79">
              <w:rPr>
                <w:rFonts w:eastAsia="Calibri" w:cs="Calibri"/>
                <w:szCs w:val="24"/>
                <w:lang w:val="en-US"/>
              </w:rPr>
              <w:t>Table 1 Research funding at EE 2018</w:t>
            </w:r>
          </w:p>
          <w:p w14:paraId="16044218" w14:textId="673A4FA1" w:rsidR="4427EA8B" w:rsidRDefault="4427EA8B" w:rsidP="4427EA8B">
            <w:pPr>
              <w:spacing w:after="0"/>
            </w:pPr>
            <w:r>
              <w:rPr>
                <w:noProof/>
                <w:lang w:val="sv-SE" w:eastAsia="sv-SE"/>
              </w:rPr>
              <w:drawing>
                <wp:inline distT="0" distB="0" distL="0" distR="0" wp14:anchorId="67AE93A1" wp14:editId="22E009FA">
                  <wp:extent cx="4572000" cy="1209675"/>
                  <wp:effectExtent l="0" t="0" r="0" b="0"/>
                  <wp:docPr id="1284263345" name="Picture 1284263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extLst>
                              <a:ext uri="{28A0092B-C50C-407E-A947-70E740481C1C}">
                                <a14:useLocalDpi xmlns:a14="http://schemas.microsoft.com/office/drawing/2010/main" val="0"/>
                              </a:ext>
                            </a:extLst>
                          </a:blip>
                          <a:stretch>
                            <a:fillRect/>
                          </a:stretch>
                        </pic:blipFill>
                        <pic:spPr>
                          <a:xfrm>
                            <a:off x="0" y="0"/>
                            <a:ext cx="4572000" cy="1209675"/>
                          </a:xfrm>
                          <a:prstGeom prst="rect">
                            <a:avLst/>
                          </a:prstGeom>
                        </pic:spPr>
                      </pic:pic>
                    </a:graphicData>
                  </a:graphic>
                </wp:inline>
              </w:drawing>
            </w:r>
          </w:p>
          <w:p w14:paraId="4446A3C6" w14:textId="7C00B819" w:rsidR="4427EA8B" w:rsidRDefault="492E8A79" w:rsidP="4427EA8B">
            <w:pPr>
              <w:spacing w:after="0"/>
            </w:pPr>
            <w:r w:rsidRPr="492E8A79">
              <w:rPr>
                <w:rFonts w:eastAsia="Calibri" w:cs="Calibri"/>
                <w:szCs w:val="24"/>
              </w:rPr>
              <w:t xml:space="preserve">The sources of the external funding are provided in Table 2. The rough picture is that the Energy Agency has a dominating role for the more energy related divisions (EPE and EME), with contributions also from electro-technology industry and utilities (ABB, Vattenfall, SvK). FPP has a dominating part of EU funding in the form of the EuroFusion project and SPP is much dependent on the Swedish Space Agency plus some EU funding. EES has their funding more distributed between VR, Vinnova and SSF. In general, we have a good spread in funding sources on a total level, which is good from a department point view as it stabilizes fluctuations. In general, more can be done to secure EU funding. </w:t>
            </w:r>
          </w:p>
          <w:p w14:paraId="19CE8A3C" w14:textId="38EBF1C1" w:rsidR="4427EA8B" w:rsidRDefault="4427EA8B" w:rsidP="4427EA8B">
            <w:r w:rsidRPr="4427EA8B">
              <w:rPr>
                <w:rFonts w:eastAsia="Calibri" w:cs="Calibri"/>
                <w:szCs w:val="24"/>
              </w:rPr>
              <w:t xml:space="preserve">  </w:t>
            </w:r>
          </w:p>
          <w:p w14:paraId="7E11B759" w14:textId="219A4C53" w:rsidR="4427EA8B" w:rsidRDefault="492E8A79">
            <w:r w:rsidRPr="492E8A79">
              <w:rPr>
                <w:rFonts w:eastAsia="Calibri" w:cs="Calibri"/>
                <w:szCs w:val="24"/>
              </w:rPr>
              <w:t xml:space="preserve"> Table 2 Sources of external funding at EE 2018</w:t>
            </w:r>
          </w:p>
          <w:p w14:paraId="2ACD85C8" w14:textId="57D7F7BD" w:rsidR="4427EA8B" w:rsidRDefault="4427EA8B" w:rsidP="4427EA8B">
            <w:r>
              <w:rPr>
                <w:noProof/>
                <w:lang w:val="sv-SE" w:eastAsia="sv-SE"/>
              </w:rPr>
              <w:drawing>
                <wp:inline distT="0" distB="0" distL="0" distR="0" wp14:anchorId="1FD326C1" wp14:editId="4F3352CC">
                  <wp:extent cx="4572000" cy="2857500"/>
                  <wp:effectExtent l="0" t="0" r="0" b="0"/>
                  <wp:docPr id="756282384" name="Picture 756282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a:off x="0" y="0"/>
                            <a:ext cx="4572000" cy="2857500"/>
                          </a:xfrm>
                          <a:prstGeom prst="rect">
                            <a:avLst/>
                          </a:prstGeom>
                        </pic:spPr>
                      </pic:pic>
                    </a:graphicData>
                  </a:graphic>
                </wp:inline>
              </w:drawing>
            </w:r>
          </w:p>
          <w:p w14:paraId="7F02EA4F" w14:textId="01B9F857" w:rsidR="4427EA8B" w:rsidRDefault="4427EA8B" w:rsidP="4427EA8B">
            <w:pPr>
              <w:spacing w:after="0"/>
            </w:pPr>
          </w:p>
          <w:p w14:paraId="5CFBF039" w14:textId="702B1CE1" w:rsidR="492E8A79" w:rsidRDefault="492E8A79" w:rsidP="492E8A79">
            <w:pPr>
              <w:spacing w:after="0" w:line="259" w:lineRule="auto"/>
              <w:rPr>
                <w:rFonts w:eastAsiaTheme="majorEastAsia" w:cs="Calibri"/>
              </w:rPr>
            </w:pPr>
            <w:r w:rsidRPr="492E8A79">
              <w:rPr>
                <w:rFonts w:eastAsiaTheme="majorEastAsia" w:cs="Calibri"/>
              </w:rPr>
              <w:t xml:space="preserve">An example of how we work around research funding is provided below for the Division of Fusion Plasma Physics. Similar strategic funding descriptions can be formulated for other divisions. It is then clear that the different research fields differ quite much in strategy, but from a department level, it is clear that we cover the all possible national sources for research funding.  </w:t>
            </w:r>
          </w:p>
          <w:p w14:paraId="4C054B7D" w14:textId="0C4DA6CD" w:rsidR="00081690" w:rsidRPr="000F1E9A" w:rsidRDefault="3AF71CF5" w:rsidP="00081690">
            <w:pPr>
              <w:pStyle w:val="BodyText"/>
            </w:pPr>
            <w:r>
              <w:lastRenderedPageBreak/>
              <w:t xml:space="preserve">The Euratom funding made available to the </w:t>
            </w:r>
            <w:r w:rsidRPr="3AF71CF5">
              <w:rPr>
                <w:i/>
                <w:iCs/>
              </w:rPr>
              <w:t>Division of Fusion Plasma Physics</w:t>
            </w:r>
            <w:r>
              <w:t xml:space="preserve"> through EUROfusion Consortium is in the form of a co-fund grant, where about 45% of the financing of the programme must be contributed by the Consortium members from their national sources. The co-financing of the participation of the Division has to come either from external research grants or from the KTH faculty funding. The main external funding available to the Division is research grants from VR (The Swedish Research Council). Although the researchers at the Division have been reasonably successful in the past in obtaining project grants, the dependence on a single national funding agency (VR) gives an unhealthy sensitivity in the research budget. The Division has tried to obtain funding from STEM (The Swedish Energy Authority), but with limited success. In this case, the long-time horizon for fusion research is a problem.  So far, the collaboration with Swedish industry has been very limited. However, as the fusion programme moves closer to a demonstration reactor this may open up new possibilities in the longer time-perspective for industry collaboration and funding from other national agencies such as Vinnova. </w:t>
            </w:r>
          </w:p>
          <w:p w14:paraId="64AF6B14" w14:textId="1AE34277" w:rsidR="000D6B05" w:rsidRPr="0044157D" w:rsidRDefault="000D6B05" w:rsidP="492E8A79">
            <w:pPr>
              <w:spacing w:after="0"/>
              <w:rPr>
                <w:rFonts w:eastAsiaTheme="majorEastAsia" w:cs="Calibri"/>
                <w:i/>
                <w:iCs/>
              </w:rPr>
            </w:pPr>
          </w:p>
          <w:p w14:paraId="38ABBB7A" w14:textId="77777777" w:rsidR="000D6B05" w:rsidRPr="0044157D" w:rsidRDefault="5D345B3A" w:rsidP="5D345B3A">
            <w:pPr>
              <w:spacing w:after="120"/>
              <w:rPr>
                <w:rFonts w:eastAsiaTheme="majorEastAsia" w:cs="Calibri"/>
              </w:rPr>
            </w:pPr>
            <w:r w:rsidRPr="5D345B3A">
              <w:rPr>
                <w:rFonts w:eastAsiaTheme="majorEastAsia" w:cs="Calibri"/>
                <w:b/>
                <w:bCs/>
              </w:rPr>
              <w:t>b.</w:t>
            </w:r>
            <w:r w:rsidRPr="5D345B3A">
              <w:rPr>
                <w:rFonts w:eastAsiaTheme="majorEastAsia" w:cs="Calibri"/>
              </w:rPr>
              <w:t xml:space="preserve"> </w:t>
            </w:r>
            <w:r w:rsidRPr="5D345B3A">
              <w:rPr>
                <w:rStyle w:val="tlid-translation"/>
                <w:rFonts w:eastAsia="Times New Roman" w:cs="Calibri"/>
                <w:i/>
                <w:iCs/>
              </w:rPr>
              <w:t>Academic culture</w:t>
            </w:r>
            <w:r w:rsidRPr="5D345B3A">
              <w:rPr>
                <w:rFonts w:eastAsiaTheme="majorEastAsia" w:cs="Calibri"/>
                <w:i/>
                <w:iCs/>
              </w:rPr>
              <w:t xml:space="preserve"> </w:t>
            </w:r>
          </w:p>
          <w:p w14:paraId="2702CCB9" w14:textId="172AFBF4" w:rsidR="000D6B05" w:rsidRPr="0044157D" w:rsidRDefault="492E8A79" w:rsidP="492E8A79">
            <w:pPr>
              <w:spacing w:after="120" w:line="259" w:lineRule="auto"/>
              <w:rPr>
                <w:rFonts w:eastAsiaTheme="majorEastAsia" w:cs="Calibri"/>
              </w:rPr>
            </w:pPr>
            <w:r w:rsidRPr="492E8A79">
              <w:rPr>
                <w:rFonts w:eastAsiaTheme="majorEastAsia" w:cs="Calibri"/>
              </w:rPr>
              <w:t>The academic culture is built bottom up, from the individual research group leaders and the students, post docs and technical staff that participate in the daily and weekly research and educational activities. Building on this faculty interaction on topics shaping the academic culture such as publication strategies, ethics, quality in education, student assessment</w:t>
            </w:r>
            <w:r w:rsidR="00377907">
              <w:rPr>
                <w:rFonts w:eastAsiaTheme="majorEastAsia" w:cs="Calibri"/>
              </w:rPr>
              <w:t>,</w:t>
            </w:r>
            <w:r w:rsidRPr="492E8A79">
              <w:rPr>
                <w:rFonts w:eastAsiaTheme="majorEastAsia" w:cs="Calibri"/>
              </w:rPr>
              <w:t xml:space="preserve"> and grading happ</w:t>
            </w:r>
            <w:r w:rsidR="00377907">
              <w:rPr>
                <w:rFonts w:eastAsiaTheme="majorEastAsia" w:cs="Calibri"/>
              </w:rPr>
              <w:t>ens in a large variety of fora</w:t>
            </w:r>
            <w:r w:rsidRPr="492E8A79">
              <w:rPr>
                <w:rFonts w:eastAsiaTheme="majorEastAsia" w:cs="Calibri"/>
              </w:rPr>
              <w:t xml:space="preserve"> ranging from division and department meetings, to course evaluation meetings and faculty workshops for planning and strategy. Regular seminars at the group or division level where ongoing research is presented and discussed is a common forum for discussion and development of the academic culture. Finally, one very important forum for quality assurance in research are the PhD defences, both in terms of the quality assurance preceding the defence, but also the discussions during and after the defence. </w:t>
            </w:r>
          </w:p>
          <w:p w14:paraId="6119A627" w14:textId="0628471C" w:rsidR="000D6B05" w:rsidRPr="0044157D" w:rsidRDefault="000D6B05" w:rsidP="5D345B3A">
            <w:pPr>
              <w:spacing w:after="120"/>
              <w:rPr>
                <w:rFonts w:eastAsiaTheme="majorEastAsia" w:cs="Calibri"/>
                <w:i/>
                <w:iCs/>
              </w:rPr>
            </w:pPr>
          </w:p>
          <w:p w14:paraId="30080541" w14:textId="77777777" w:rsidR="000D6B05" w:rsidRPr="00062E86" w:rsidRDefault="6A2D7309" w:rsidP="5D345B3A">
            <w:pPr>
              <w:spacing w:after="120"/>
              <w:rPr>
                <w:rFonts w:eastAsiaTheme="majorEastAsia" w:cs="Calibri"/>
                <w:i/>
                <w:iCs/>
                <w:color w:val="000000" w:themeColor="text1"/>
              </w:rPr>
            </w:pPr>
            <w:r w:rsidRPr="6A2D7309">
              <w:rPr>
                <w:rFonts w:eastAsiaTheme="majorEastAsia" w:cs="Calibri"/>
                <w:b/>
                <w:bCs/>
              </w:rPr>
              <w:t>c.</w:t>
            </w:r>
            <w:r w:rsidRPr="6A2D7309">
              <w:rPr>
                <w:rFonts w:eastAsiaTheme="majorEastAsia" w:cs="Calibri"/>
              </w:rPr>
              <w:t xml:space="preserve"> </w:t>
            </w:r>
            <w:r w:rsidRPr="6A2D7309">
              <w:rPr>
                <w:rFonts w:eastAsiaTheme="majorEastAsia" w:cs="Calibri"/>
                <w:i/>
                <w:iCs/>
              </w:rPr>
              <w:t xml:space="preserve">Current </w:t>
            </w:r>
            <w:r w:rsidRPr="6A2D7309">
              <w:rPr>
                <w:rFonts w:eastAsiaTheme="majorEastAsia" w:cs="Calibri"/>
                <w:i/>
                <w:iCs/>
                <w:color w:val="000000" w:themeColor="text1"/>
              </w:rPr>
              <w:t xml:space="preserve">faculty situation </w:t>
            </w:r>
          </w:p>
          <w:p w14:paraId="3C4BE258" w14:textId="5CF6D309" w:rsidR="6A2D7309" w:rsidRDefault="06831449" w:rsidP="6A2D7309">
            <w:pPr>
              <w:spacing w:after="120"/>
              <w:rPr>
                <w:rFonts w:cs="Calibri"/>
              </w:rPr>
            </w:pPr>
            <w:r w:rsidRPr="06831449">
              <w:rPr>
                <w:rFonts w:eastAsiaTheme="majorEastAsia" w:cs="Calibri"/>
                <w:color w:val="000000" w:themeColor="text1"/>
              </w:rPr>
              <w:t xml:space="preserve">The present staff and faculty situation are quantitatively described in Table 3.  The faculty staff consists of </w:t>
            </w:r>
            <w:r w:rsidRPr="06831449">
              <w:rPr>
                <w:rFonts w:cs="Calibri"/>
              </w:rPr>
              <w:t xml:space="preserve">27 Professors, 16 Associate Professors, 3 Assistant Professors (1 contracted to start Sept. 2020). </w:t>
            </w:r>
          </w:p>
          <w:p w14:paraId="5174EE49" w14:textId="74367175" w:rsidR="492E8A79" w:rsidRDefault="06831449" w:rsidP="00377907">
            <w:pPr>
              <w:keepNext/>
              <w:spacing w:after="0"/>
              <w:rPr>
                <w:rFonts w:cs="Calibri"/>
              </w:rPr>
            </w:pPr>
            <w:r w:rsidRPr="06831449">
              <w:rPr>
                <w:rFonts w:cs="Calibri"/>
              </w:rPr>
              <w:lastRenderedPageBreak/>
              <w:t>Table 3 Staff at Department of Electrical Engineering</w:t>
            </w:r>
          </w:p>
          <w:p w14:paraId="6FACB781" w14:textId="07CDA978" w:rsidR="492E8A79" w:rsidRDefault="492E8A79" w:rsidP="492E8A79">
            <w:pPr>
              <w:spacing w:after="0"/>
            </w:pPr>
            <w:r>
              <w:rPr>
                <w:noProof/>
                <w:lang w:val="sv-SE" w:eastAsia="sv-SE"/>
              </w:rPr>
              <w:drawing>
                <wp:inline distT="0" distB="0" distL="0" distR="0" wp14:anchorId="48B3BA67" wp14:editId="32D1636F">
                  <wp:extent cx="5448302" cy="2463085"/>
                  <wp:effectExtent l="0" t="0" r="0" b="0"/>
                  <wp:docPr id="1383246792" name="Picture 1383246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extLst>
                              <a:ext uri="{28A0092B-C50C-407E-A947-70E740481C1C}">
                                <a14:useLocalDpi xmlns:a14="http://schemas.microsoft.com/office/drawing/2010/main" val="0"/>
                              </a:ext>
                            </a:extLst>
                          </a:blip>
                          <a:stretch>
                            <a:fillRect/>
                          </a:stretch>
                        </pic:blipFill>
                        <pic:spPr>
                          <a:xfrm>
                            <a:off x="0" y="0"/>
                            <a:ext cx="5448302" cy="2463085"/>
                          </a:xfrm>
                          <a:prstGeom prst="rect">
                            <a:avLst/>
                          </a:prstGeom>
                        </pic:spPr>
                      </pic:pic>
                    </a:graphicData>
                  </a:graphic>
                </wp:inline>
              </w:drawing>
            </w:r>
          </w:p>
          <w:p w14:paraId="245E15A1" w14:textId="26642476" w:rsidR="492E8A79" w:rsidRDefault="05EA6DE4" w:rsidP="492E8A79">
            <w:pPr>
              <w:spacing w:after="0"/>
            </w:pPr>
            <w:r>
              <w:t>The faculty situation is sufficient in numbers of professors and associate professors after the recruitment process, ongoing in 2020, of four associate professors. There are a few assistant professors, during the evaluation period some have been promoted to associate professors. It is foreseen that the upcoming retirements will be replaced by assistant professors with an estimate of about one per year in the period 2022-2027.</w:t>
            </w:r>
          </w:p>
          <w:p w14:paraId="0753582E" w14:textId="66F8DA26" w:rsidR="492E8A79" w:rsidRDefault="492E8A79" w:rsidP="492E8A79">
            <w:pPr>
              <w:spacing w:after="120"/>
              <w:rPr>
                <w:rFonts w:cs="Calibri"/>
              </w:rPr>
            </w:pPr>
          </w:p>
          <w:p w14:paraId="59ECDB03" w14:textId="7AA3011B" w:rsidR="000D6B05" w:rsidRPr="0044157D" w:rsidRDefault="05EA6DE4" w:rsidP="05EA6DE4">
            <w:pPr>
              <w:spacing w:after="120"/>
              <w:rPr>
                <w:rFonts w:eastAsiaTheme="majorEastAsia" w:cs="Calibri"/>
                <w:color w:val="000000" w:themeColor="text1"/>
              </w:rPr>
            </w:pPr>
            <w:r w:rsidRPr="05EA6DE4">
              <w:rPr>
                <w:rFonts w:eastAsiaTheme="majorEastAsia" w:cs="Calibri"/>
                <w:color w:val="000000" w:themeColor="text1"/>
              </w:rPr>
              <w:t>The average age of faculty across the department is quite high and we are very unbalanced along the gender dimension. Of the professors, eight are due to retire within the coming 8-10 years, and the majority are men. The faculty is also tilted towards the higher ranks, with many more professors than associate and assistant professors. This is quite normal considering the tenure track system at KTH. It creates a situation with low level of flexibility and adaptability to new topics and research directions. On the positive side, it is apparent that the junior faculty – assistant and associate professors are all developing individual lines of research complementing and expanding upon the incumbent areas of the senior faculty. This holds good promise for a continuing development of the subject area at KTH.</w:t>
            </w:r>
          </w:p>
          <w:p w14:paraId="7EE64BB5" w14:textId="0746C64E" w:rsidR="6A2D7309" w:rsidRDefault="492E8A79" w:rsidP="492E8A79">
            <w:pPr>
              <w:spacing w:after="120" w:line="259" w:lineRule="auto"/>
              <w:rPr>
                <w:rFonts w:eastAsiaTheme="majorEastAsia" w:cs="Calibri"/>
                <w:color w:val="000000" w:themeColor="text1"/>
              </w:rPr>
            </w:pPr>
            <w:r w:rsidRPr="492E8A79">
              <w:rPr>
                <w:rFonts w:eastAsiaTheme="majorEastAsia" w:cs="Calibri"/>
                <w:color w:val="000000" w:themeColor="text1"/>
              </w:rPr>
              <w:t xml:space="preserve">In terms of steps to be taken, most efforts for recruitment and career development are coordinated at the school level. Two efforts pushed from the department perspective is a high focus on recruiting female faculty – it is only through successful recruitment of women that the gender balance issue can be addressed. For the most recent assistant professor positions, one man and one woman were hired. Second, better support for career development for faculty already at KTH, both men and women, needs to be put in place. An important tool here is education of group and division managers on topics such as coaching, gender balance and equal opportunities. </w:t>
            </w:r>
          </w:p>
          <w:p w14:paraId="26DCFCCB" w14:textId="0DC9C0F2" w:rsidR="000D6B05" w:rsidRPr="0044157D" w:rsidRDefault="000D6B05" w:rsidP="5D345B3A">
            <w:pPr>
              <w:spacing w:after="120"/>
              <w:rPr>
                <w:rFonts w:eastAsiaTheme="majorEastAsia" w:cs="Calibri"/>
                <w:i/>
                <w:iCs/>
                <w:color w:val="000000" w:themeColor="text1"/>
              </w:rPr>
            </w:pPr>
          </w:p>
          <w:p w14:paraId="06DAB9D6" w14:textId="77777777" w:rsidR="000D6B05" w:rsidRPr="00BF4818" w:rsidRDefault="5D345B3A" w:rsidP="5D345B3A">
            <w:pPr>
              <w:spacing w:after="120"/>
              <w:rPr>
                <w:rFonts w:eastAsiaTheme="majorEastAsia" w:cs="Calibri"/>
                <w:i/>
                <w:iCs/>
                <w:color w:val="FF0000"/>
              </w:rPr>
            </w:pPr>
            <w:r w:rsidRPr="5D345B3A">
              <w:rPr>
                <w:rFonts w:eastAsiaTheme="majorEastAsia" w:cs="Calibri"/>
                <w:b/>
                <w:bCs/>
              </w:rPr>
              <w:t>d.</w:t>
            </w:r>
            <w:r w:rsidRPr="5D345B3A">
              <w:rPr>
                <w:rFonts w:eastAsiaTheme="majorEastAsia" w:cs="Calibri"/>
              </w:rPr>
              <w:t xml:space="preserve"> </w:t>
            </w:r>
            <w:r w:rsidRPr="5D345B3A">
              <w:rPr>
                <w:rFonts w:eastAsiaTheme="majorEastAsia" w:cs="Calibri"/>
                <w:i/>
                <w:iCs/>
              </w:rPr>
              <w:t xml:space="preserve">Recruitment </w:t>
            </w:r>
            <w:r w:rsidRPr="5D345B3A">
              <w:rPr>
                <w:rFonts w:eastAsiaTheme="majorEastAsia" w:cs="Calibri"/>
                <w:i/>
                <w:iCs/>
                <w:color w:val="000000" w:themeColor="text1"/>
              </w:rPr>
              <w:t>strategies</w:t>
            </w:r>
          </w:p>
          <w:p w14:paraId="12BBD603" w14:textId="436CF0BC" w:rsidR="5D345B3A" w:rsidRDefault="3AF71CF5" w:rsidP="3AF71CF5">
            <w:pPr>
              <w:spacing w:after="120"/>
              <w:rPr>
                <w:rFonts w:eastAsiaTheme="majorEastAsia" w:cs="Calibri"/>
                <w:color w:val="000000" w:themeColor="text1"/>
              </w:rPr>
            </w:pPr>
            <w:r w:rsidRPr="3AF71CF5">
              <w:rPr>
                <w:rFonts w:eastAsiaTheme="majorEastAsia" w:cs="Calibri"/>
                <w:color w:val="000000" w:themeColor="text1"/>
              </w:rPr>
              <w:t xml:space="preserve">We use open calls for recruitment at all levels and distribute announcements via as many channels as possible. This method not only provides the best chances of attracting the best talents, it also provides a safeguard against unconscious bias and recruitment from the immediate research environment. Second, the recruitment </w:t>
            </w:r>
            <w:r w:rsidRPr="3AF71CF5">
              <w:rPr>
                <w:rFonts w:eastAsiaTheme="majorEastAsia" w:cs="Calibri"/>
                <w:color w:val="000000" w:themeColor="text1"/>
              </w:rPr>
              <w:lastRenderedPageBreak/>
              <w:t>policies put in place at KTH for PhDs and Postdocs enforcing a second opinion and mandating written documentation of why the top candidate was selected is a concrete tool to avoid bias.</w:t>
            </w:r>
          </w:p>
          <w:p w14:paraId="5323C032" w14:textId="03EAA76D" w:rsidR="5D345B3A" w:rsidRDefault="3141DCD1" w:rsidP="3141DCD1">
            <w:pPr>
              <w:spacing w:after="120"/>
              <w:rPr>
                <w:rFonts w:eastAsiaTheme="majorEastAsia" w:cs="Calibri"/>
                <w:color w:val="000000" w:themeColor="text1"/>
              </w:rPr>
            </w:pPr>
            <w:r w:rsidRPr="3141DCD1">
              <w:rPr>
                <w:rFonts w:eastAsiaTheme="majorEastAsia" w:cs="Calibri"/>
                <w:color w:val="000000" w:themeColor="text1"/>
              </w:rPr>
              <w:t>For recruitment at the faculty level a necessary requirement to initiate recruitment is an identified present or coming need within education. The rationale being that we need to secure our ability to teach all basic and starting level advanced courses before expanding into new topics. When a recruitment has been initiated however, the top most criteria is that we recruit the candidate with the strongest research merits. Recruitment is primarily done at the assistant professor level, again according to the above strategy. For the immediate future (2020-2021) a need to recruit at the associate professor level has been identified in order to strengthen our pedagogic leadership at the program level and also to facilitate a re-organisation where more educational responsibilities are transferred the department.</w:t>
            </w:r>
          </w:p>
          <w:p w14:paraId="4B2D4B88" w14:textId="65F8A575" w:rsidR="000D6B05" w:rsidRPr="0044157D" w:rsidRDefault="000D6B05" w:rsidP="49CB27EE">
            <w:pPr>
              <w:spacing w:after="120"/>
              <w:rPr>
                <w:rFonts w:eastAsiaTheme="majorEastAsia" w:cs="Calibri"/>
                <w:i/>
                <w:iCs/>
                <w:color w:val="000000" w:themeColor="text1"/>
              </w:rPr>
            </w:pPr>
          </w:p>
          <w:p w14:paraId="23B76EEF" w14:textId="311BEBB6" w:rsidR="000D6B05" w:rsidRPr="0044157D" w:rsidRDefault="6A2D7309" w:rsidP="00910D79">
            <w:pPr>
              <w:spacing w:after="120"/>
              <w:rPr>
                <w:rStyle w:val="tlid-translation"/>
                <w:rFonts w:cs="Calibri"/>
                <w:szCs w:val="24"/>
              </w:rPr>
            </w:pPr>
            <w:r w:rsidRPr="6A2D7309">
              <w:rPr>
                <w:rFonts w:cs="Calibri"/>
                <w:b/>
                <w:bCs/>
                <w:color w:val="000000" w:themeColor="text1"/>
              </w:rPr>
              <w:t xml:space="preserve">e. </w:t>
            </w:r>
            <w:r w:rsidRPr="6A2D7309">
              <w:rPr>
                <w:rFonts w:cs="Calibri"/>
                <w:i/>
                <w:iCs/>
                <w:color w:val="000000" w:themeColor="text1"/>
              </w:rPr>
              <w:t>Infrastructure</w:t>
            </w:r>
            <w:r w:rsidRPr="6A2D7309">
              <w:rPr>
                <w:rFonts w:cs="Calibri"/>
                <w:i/>
                <w:iCs/>
              </w:rPr>
              <w:t xml:space="preserve"> and </w:t>
            </w:r>
            <w:r w:rsidRPr="6A2D7309">
              <w:rPr>
                <w:rStyle w:val="tlid-translation"/>
                <w:rFonts w:eastAsia="Times New Roman" w:cs="Calibri"/>
                <w:i/>
                <w:iCs/>
              </w:rPr>
              <w:t xml:space="preserve">facilities </w:t>
            </w:r>
          </w:p>
          <w:p w14:paraId="0A41F773" w14:textId="1C33C6E8" w:rsidR="6A2D7309" w:rsidRDefault="492E8A79" w:rsidP="492E8A79">
            <w:pPr>
              <w:spacing w:after="0"/>
              <w:rPr>
                <w:szCs w:val="24"/>
              </w:rPr>
            </w:pPr>
            <w:r w:rsidRPr="492E8A79">
              <w:rPr>
                <w:rFonts w:eastAsia="Calibri" w:cs="Calibri"/>
                <w:szCs w:val="24"/>
              </w:rPr>
              <w:t xml:space="preserve">The laboratory facilities within EE reflect the strong focus on experimental research at the different divisions. The Electrum Laboratory is a separate organisation, centre on School level, but well connected to the EES division and is also part of the national infrastructure Myfab. The research infrastructure within EME and EPE has recently been transferred into a new infrastructure – the Sustainable Power Lab (SPL).  SPL will host an infrastructure for research and innovations for projects with electric power and electromagnetic implementations. The FPP divisions hosts the in-house experimental device EXTRAP T2R for production of plasmas under magnetic confinement. The SPP divisions hosts equipment for an </w:t>
            </w:r>
            <w:r w:rsidRPr="492E8A79">
              <w:rPr>
                <w:szCs w:val="24"/>
              </w:rPr>
              <w:t xml:space="preserve">own electronics laboratory with typical equipment for space electronics development.  </w:t>
            </w:r>
            <w:r w:rsidRPr="492E8A79">
              <w:rPr>
                <w:rFonts w:eastAsia="Calibri" w:cs="Calibri"/>
                <w:szCs w:val="24"/>
              </w:rPr>
              <w:t xml:space="preserve">The department also host several computer clusters for high-performance and memory intensive computations. The four divisions (EME, EPE, FPP and SPP) located at KTH Campus also share a common mechanical workshop.  </w:t>
            </w:r>
          </w:p>
          <w:p w14:paraId="146A51D1" w14:textId="68063443" w:rsidR="49CB27EE" w:rsidRDefault="49CB27EE" w:rsidP="49CB27EE">
            <w:pPr>
              <w:spacing w:after="0"/>
              <w:rPr>
                <w:rFonts w:eastAsia="Calibri" w:cs="Calibri"/>
                <w:szCs w:val="24"/>
              </w:rPr>
            </w:pPr>
          </w:p>
          <w:p w14:paraId="624DED8E" w14:textId="6F1805C5" w:rsidR="00C035B2" w:rsidRPr="00D3501C" w:rsidRDefault="00D3501C" w:rsidP="492E8A79">
            <w:pPr>
              <w:spacing w:after="0"/>
              <w:rPr>
                <w:rFonts w:cs="Calibri"/>
                <w:bCs/>
              </w:rPr>
            </w:pPr>
            <w:r>
              <w:rPr>
                <w:rFonts w:cs="Calibri"/>
                <w:bCs/>
              </w:rPr>
              <w:t>Electronics a</w:t>
            </w:r>
            <w:r w:rsidRPr="00D3501C">
              <w:rPr>
                <w:rFonts w:cs="Calibri"/>
                <w:bCs/>
              </w:rPr>
              <w:t>nd Embedded Systems</w:t>
            </w:r>
          </w:p>
          <w:p w14:paraId="278DCB1B" w14:textId="64DBB356" w:rsidR="575DB160" w:rsidRDefault="492E8A79" w:rsidP="492E8A79">
            <w:pPr>
              <w:rPr>
                <w:rFonts w:eastAsia="Calibri" w:cs="Calibri"/>
                <w:szCs w:val="24"/>
                <w:lang w:val="en-US"/>
              </w:rPr>
            </w:pPr>
            <w:r w:rsidRPr="492E8A79">
              <w:rPr>
                <w:rFonts w:eastAsia="Calibri" w:cs="Calibri"/>
                <w:szCs w:val="24"/>
                <w:lang w:val="en-US"/>
              </w:rPr>
              <w:t xml:space="preserve">Electrum Laboratory at KTH EECS – together with Albanova Nanolab at KTH SCI – constitutes the KTH node of Myfab, the Swedish national distributed infrastructure for micro and nanofabrication. Electrum Laboratory is a resource for education, research, development, prototyping and small-scale production of a wide range of devices based on nano- and microtechnology. </w:t>
            </w:r>
            <w:r w:rsidRPr="492E8A79">
              <w:rPr>
                <w:rFonts w:cs="Calibri"/>
              </w:rPr>
              <w:t xml:space="preserve">Electrum lab is a separate organization at the School level and receives strategic infrastructure funding from central KTH level and national infrastructure funding from VR. </w:t>
            </w:r>
            <w:r w:rsidRPr="492E8A79">
              <w:rPr>
                <w:rFonts w:eastAsia="Calibri" w:cs="Calibri"/>
                <w:szCs w:val="24"/>
                <w:lang w:val="en-US"/>
              </w:rPr>
              <w:t>The renewal of tools at the laboratory is continuously driven by the explicit demands from the user groups, and financed from various sources; e.g., the user groups themselves, KTH infrastructure grants, and Swedish funding agencies. In order to maintain reproducible high-quality processes, preferably refurbished industrial tools are installed, rather than standard research tools.The lab is a base for leading research groups at KTH and other Swedish universities, it plays a strategic role as a production incubator for high tech spin-off companies.</w:t>
            </w:r>
          </w:p>
          <w:p w14:paraId="106DE2EE" w14:textId="5DA43CD0" w:rsidR="575DB160" w:rsidRDefault="492E8A79" w:rsidP="575DB160">
            <w:pPr>
              <w:rPr>
                <w:rFonts w:eastAsia="Calibri" w:cs="Calibri"/>
                <w:szCs w:val="24"/>
                <w:lang w:val="en-US"/>
              </w:rPr>
            </w:pPr>
            <w:r w:rsidRPr="492E8A79">
              <w:rPr>
                <w:rFonts w:eastAsia="Calibri" w:cs="Calibri"/>
                <w:szCs w:val="24"/>
                <w:lang w:val="en-US"/>
              </w:rPr>
              <w:t xml:space="preserve">Electrum Laboratory comprises an extensive expertise and infrastructure, including complete processing lines for silicon CMOS and silicon carbide based integrated circuits, photonic device fabrication and micro-mechanical systems. Currently the efforts are </w:t>
            </w:r>
            <w:r w:rsidRPr="492E8A79">
              <w:rPr>
                <w:rFonts w:eastAsia="Calibri" w:cs="Calibri"/>
                <w:szCs w:val="24"/>
                <w:lang w:val="en-US"/>
              </w:rPr>
              <w:lastRenderedPageBreak/>
              <w:t xml:space="preserve">directed towards the establishment of process lines for heterogeneous integration of devices. Hence, semiconductor circuits will be integrated with non-conventional device functions, such as biosensors, chemical sensors, energy harvests, and optical components, which are required to meet the demands on interdisciplinary future device development research projects. </w:t>
            </w:r>
          </w:p>
          <w:p w14:paraId="24D834F1" w14:textId="1417FDD0" w:rsidR="46BFD4DC" w:rsidRPr="00D3501C" w:rsidRDefault="00D3501C" w:rsidP="6A2D7309">
            <w:pPr>
              <w:spacing w:after="0"/>
              <w:rPr>
                <w:rStyle w:val="tlid-translation"/>
                <w:rFonts w:eastAsia="Times New Roman" w:cs="Calibri"/>
                <w:bCs/>
              </w:rPr>
            </w:pPr>
            <w:r w:rsidRPr="00D3501C">
              <w:rPr>
                <w:rStyle w:val="tlid-translation"/>
                <w:rFonts w:eastAsia="Times New Roman" w:cs="Calibri"/>
                <w:bCs/>
              </w:rPr>
              <w:t>S</w:t>
            </w:r>
            <w:r>
              <w:rPr>
                <w:rStyle w:val="tlid-translation"/>
                <w:rFonts w:eastAsia="Times New Roman" w:cs="Calibri"/>
                <w:bCs/>
              </w:rPr>
              <w:t>ustainable P</w:t>
            </w:r>
            <w:r w:rsidRPr="00D3501C">
              <w:rPr>
                <w:rStyle w:val="tlid-translation"/>
                <w:rFonts w:eastAsia="Times New Roman" w:cs="Calibri"/>
                <w:bCs/>
              </w:rPr>
              <w:t>ow</w:t>
            </w:r>
            <w:r>
              <w:rPr>
                <w:rStyle w:val="tlid-translation"/>
                <w:rFonts w:eastAsia="Times New Roman" w:cs="Calibri"/>
                <w:bCs/>
              </w:rPr>
              <w:t>er L</w:t>
            </w:r>
            <w:r w:rsidRPr="00D3501C">
              <w:rPr>
                <w:rStyle w:val="tlid-translation"/>
                <w:rFonts w:eastAsia="Times New Roman" w:cs="Calibri"/>
                <w:bCs/>
              </w:rPr>
              <w:t>aboratory</w:t>
            </w:r>
          </w:p>
          <w:p w14:paraId="32270AE4" w14:textId="362AB158" w:rsidR="46BFD4DC" w:rsidRDefault="492E8A79" w:rsidP="492E8A79">
            <w:pPr>
              <w:spacing w:after="0"/>
              <w:rPr>
                <w:rFonts w:cs="Calibri"/>
                <w:lang w:val="en-US"/>
              </w:rPr>
            </w:pPr>
            <w:r w:rsidRPr="492E8A79">
              <w:rPr>
                <w:rFonts w:eastAsia="Calibri" w:cs="Calibri"/>
                <w:szCs w:val="24"/>
              </w:rPr>
              <w:t xml:space="preserve">As part of the KTH deputy president’s initiative to develop a programme for central supervision and processes for support of research infrastructures at KTH, the EE divisions EME and EPE have developed the Sustainable Power Lab (SPL). The SPL qualified as one of KTH’s 15 official research infrastructures in early 2020 which entitles the included laboratory facilities to KTH central funding and support for advanced instruments and equipment.  </w:t>
            </w:r>
            <w:r w:rsidRPr="492E8A79">
              <w:rPr>
                <w:rFonts w:cs="Calibri"/>
                <w:lang w:val="en-US"/>
              </w:rPr>
              <w:t>The SPL facilities include high power and high voltage supplies for AC and DC, as well as testbenches for electric machines, facilities for power electronics component binding and packaging, and comprehensive facilities for testing and prototype development. Additionally, the SPL houses a multi-core real-time hardware simulator capable of simulating in real-time 100+ bus power systems. The SPL-lab is presently under development with setting up introductory and safety courses, and a booking/billing system.</w:t>
            </w:r>
          </w:p>
          <w:p w14:paraId="115B30F4" w14:textId="592CD894" w:rsidR="46BFD4DC" w:rsidRPr="00D3501C" w:rsidRDefault="46BFD4DC" w:rsidP="46BFD4DC">
            <w:pPr>
              <w:spacing w:after="0"/>
              <w:rPr>
                <w:rFonts w:cs="Calibri"/>
                <w:lang w:val="en-US"/>
              </w:rPr>
            </w:pPr>
          </w:p>
          <w:p w14:paraId="2EB93AF8" w14:textId="1861DCAC" w:rsidR="00D07E20" w:rsidRPr="00377907" w:rsidRDefault="00377907" w:rsidP="009372E1">
            <w:pPr>
              <w:spacing w:after="0"/>
              <w:rPr>
                <w:rFonts w:cs="Calibri"/>
                <w:szCs w:val="24"/>
              </w:rPr>
            </w:pPr>
            <w:r w:rsidRPr="00377907">
              <w:rPr>
                <w:rFonts w:cs="Calibri"/>
                <w:bCs/>
              </w:rPr>
              <w:t>Electric Power and Energy Systems</w:t>
            </w:r>
          </w:p>
          <w:p w14:paraId="6D6E599B" w14:textId="55C92DB1" w:rsidR="00C035B2" w:rsidRDefault="00D3501C" w:rsidP="009372E1">
            <w:pPr>
              <w:spacing w:after="0"/>
              <w:rPr>
                <w:rFonts w:cs="Calibri"/>
                <w:szCs w:val="24"/>
              </w:rPr>
            </w:pPr>
            <w:r>
              <w:rPr>
                <w:rFonts w:cs="Calibri"/>
                <w:szCs w:val="24"/>
              </w:rPr>
              <w:t xml:space="preserve">Improved processes for </w:t>
            </w:r>
            <w:r w:rsidR="00377907">
              <w:rPr>
                <w:rFonts w:cs="Calibri"/>
                <w:szCs w:val="24"/>
              </w:rPr>
              <w:t>infrastructure and laboratory facilities include:</w:t>
            </w:r>
          </w:p>
          <w:p w14:paraId="7FC8A848" w14:textId="36A647F9" w:rsidR="00D07E20" w:rsidRPr="00DE7B26" w:rsidRDefault="00D07E20" w:rsidP="003A09D8">
            <w:pPr>
              <w:pStyle w:val="ListParagraph"/>
              <w:numPr>
                <w:ilvl w:val="0"/>
                <w:numId w:val="14"/>
              </w:numPr>
              <w:rPr>
                <w:rFonts w:ascii="Calibri" w:hAnsi="Calibri" w:cs="Calibri"/>
                <w:lang w:val="en-US"/>
              </w:rPr>
            </w:pPr>
            <w:r w:rsidRPr="00DE7B26">
              <w:rPr>
                <w:rFonts w:ascii="Calibri" w:hAnsi="Calibri" w:cs="Calibri"/>
                <w:lang w:val="en-US"/>
              </w:rPr>
              <w:t>Better access to qualified lab technicians is important to realize an increased share of experimental activities, and execute these more efficiently.</w:t>
            </w:r>
          </w:p>
          <w:p w14:paraId="4FECCEFC" w14:textId="31DD7482" w:rsidR="00D07E20" w:rsidRPr="00DE7B26" w:rsidRDefault="00D07E20" w:rsidP="003A09D8">
            <w:pPr>
              <w:pStyle w:val="ListParagraph"/>
              <w:numPr>
                <w:ilvl w:val="0"/>
                <w:numId w:val="14"/>
              </w:numPr>
              <w:rPr>
                <w:rFonts w:ascii="Calibri" w:hAnsi="Calibri" w:cs="Calibri"/>
                <w:lang w:val="en-US"/>
              </w:rPr>
            </w:pPr>
            <w:r w:rsidRPr="00DE7B26">
              <w:rPr>
                <w:rFonts w:ascii="Calibri" w:hAnsi="Calibri" w:cs="Calibri"/>
                <w:lang w:val="en-US"/>
              </w:rPr>
              <w:t>Simplified routines procurements when building/setting up experimental prototypes are necessary</w:t>
            </w:r>
          </w:p>
          <w:p w14:paraId="4ACD8B10" w14:textId="105DB5D3" w:rsidR="00D07E20" w:rsidRPr="00DE7B26" w:rsidRDefault="00D07E20" w:rsidP="003A09D8">
            <w:pPr>
              <w:pStyle w:val="ListParagraph"/>
              <w:numPr>
                <w:ilvl w:val="0"/>
                <w:numId w:val="14"/>
              </w:numPr>
              <w:rPr>
                <w:rFonts w:ascii="Calibri" w:hAnsi="Calibri" w:cs="Calibri"/>
                <w:lang w:val="en-US"/>
              </w:rPr>
            </w:pPr>
            <w:r w:rsidRPr="00DE7B26">
              <w:rPr>
                <w:rFonts w:ascii="Calibri" w:hAnsi="Calibri" w:cs="Calibri"/>
                <w:lang w:val="en-US"/>
              </w:rPr>
              <w:t>Improved routines and materials for safety when working in a laboratory setting.</w:t>
            </w:r>
          </w:p>
          <w:p w14:paraId="41CF92EF" w14:textId="44503C55" w:rsidR="00D07E20" w:rsidRPr="00DE7B26" w:rsidRDefault="00D07E20" w:rsidP="003A09D8">
            <w:pPr>
              <w:pStyle w:val="ListParagraph"/>
              <w:numPr>
                <w:ilvl w:val="0"/>
                <w:numId w:val="14"/>
              </w:numPr>
              <w:rPr>
                <w:rFonts w:ascii="Calibri" w:hAnsi="Calibri" w:cs="Calibri"/>
                <w:lang w:val="en-US"/>
              </w:rPr>
            </w:pPr>
            <w:r w:rsidRPr="00DE7B26">
              <w:rPr>
                <w:rFonts w:ascii="Calibri" w:hAnsi="Calibri" w:cs="Calibri"/>
                <w:lang w:val="en-US"/>
              </w:rPr>
              <w:t>A more continuous process of purchasing equipment to be used in laboratory exercises offered to students in course settings.</w:t>
            </w:r>
          </w:p>
          <w:p w14:paraId="5C943D4F" w14:textId="77777777" w:rsidR="00D07E20" w:rsidRDefault="00D07E20" w:rsidP="009372E1">
            <w:pPr>
              <w:spacing w:after="0"/>
              <w:rPr>
                <w:rStyle w:val="tlid-translation"/>
                <w:rFonts w:eastAsia="Times New Roman" w:cs="Calibri"/>
                <w:szCs w:val="24"/>
              </w:rPr>
            </w:pPr>
          </w:p>
          <w:p w14:paraId="44FE13AE" w14:textId="384FEA61" w:rsidR="00D07E20" w:rsidRPr="00D3501C" w:rsidRDefault="00D3501C" w:rsidP="009372E1">
            <w:pPr>
              <w:spacing w:after="0"/>
              <w:rPr>
                <w:rStyle w:val="tlid-translation"/>
                <w:rFonts w:eastAsia="Times New Roman" w:cs="Calibri"/>
                <w:szCs w:val="24"/>
              </w:rPr>
            </w:pPr>
            <w:r>
              <w:rPr>
                <w:rStyle w:val="tlid-translation"/>
                <w:rFonts w:eastAsia="Times New Roman" w:cs="Calibri"/>
                <w:szCs w:val="24"/>
              </w:rPr>
              <w:t>Electromagnetic Engineering</w:t>
            </w:r>
          </w:p>
          <w:p w14:paraId="4DBC0A52" w14:textId="1A66A5AE" w:rsidR="00605687" w:rsidRDefault="00605687" w:rsidP="009372E1">
            <w:pPr>
              <w:spacing w:after="0"/>
              <w:rPr>
                <w:rStyle w:val="tlid-translation"/>
                <w:rFonts w:eastAsia="Times New Roman" w:cs="Calibri"/>
                <w:szCs w:val="24"/>
              </w:rPr>
            </w:pPr>
            <w:r>
              <w:rPr>
                <w:rStyle w:val="tlid-translation"/>
                <w:rFonts w:eastAsia="Times New Roman" w:cs="Calibri"/>
                <w:szCs w:val="24"/>
              </w:rPr>
              <w:t xml:space="preserve">Equipment for characterization of antennas and electromagnetic radiation: </w:t>
            </w:r>
          </w:p>
          <w:p w14:paraId="490033BD" w14:textId="61742633" w:rsidR="6A2D7309" w:rsidRDefault="50F906C4" w:rsidP="6A2D7309">
            <w:pPr>
              <w:spacing w:after="0"/>
              <w:rPr>
                <w:rStyle w:val="tlid-translation"/>
                <w:rFonts w:eastAsia="Times New Roman" w:cs="Calibri"/>
                <w:color w:val="FF0000"/>
              </w:rPr>
            </w:pPr>
            <w:r w:rsidRPr="50F906C4">
              <w:rPr>
                <w:rStyle w:val="tlid-translation"/>
                <w:rFonts w:eastAsia="Times New Roman" w:cs="Calibri"/>
              </w:rPr>
              <w:t>Electromagnetic Anechoic chamber and an electromagnetic reverberation chamber. There is a Vector Network Analyzer (VNA) up to 70 GHz. A high voltage laboratory with versatile equipment for studies of insulation syst</w:t>
            </w:r>
            <w:r w:rsidR="00377907">
              <w:rPr>
                <w:rStyle w:val="tlid-translation"/>
                <w:rFonts w:eastAsia="Times New Roman" w:cs="Calibri"/>
              </w:rPr>
              <w:t xml:space="preserve">em, arcs, polymer ablation, etc. </w:t>
            </w:r>
            <w:r w:rsidRPr="50F906C4">
              <w:rPr>
                <w:rStyle w:val="tlid-translation"/>
                <w:rFonts w:eastAsia="Times New Roman" w:cs="Calibri"/>
              </w:rPr>
              <w:t xml:space="preserve">with a multi-test system for AC, DC and impulse test up to 400 kV.  Measurement equipment consists of two dielectric frequency response analysers (DFR) and two equipment for phase-resolved partial discharge (PD) measurements (PRPDA), including a shield room for low level PD measurements. </w:t>
            </w:r>
            <w:r w:rsidRPr="50F906C4">
              <w:rPr>
                <w:rFonts w:eastAsia="Calibri" w:cs="Calibri"/>
                <w:szCs w:val="24"/>
              </w:rPr>
              <w:t xml:space="preserve">Two high speeds cameras (up to 100 000 frames/second) for control of fast mechanical evens as well as plasma diagnostics. The lab also hosts high current sources for electrical testing of contacts and breakers up to 80 kA impulses and 5 kA AC (one cycle). There is also a multi-channel optical spectrometer from spectral range between 200 to 900 nm for plasma diagnostics. For EMI investigations there are a </w:t>
            </w:r>
            <w:r w:rsidRPr="50F906C4">
              <w:rPr>
                <w:rFonts w:eastAsia="Calibri" w:cs="Calibri"/>
                <w:sz w:val="22"/>
                <w:lang w:val="en-US"/>
              </w:rPr>
              <w:t>GTEM Cell, an EFT transient generator (NSG-3040-IEC) and a UWB generator (FPG 20-1PM).</w:t>
            </w:r>
          </w:p>
          <w:p w14:paraId="08B41A0C" w14:textId="0FB17883" w:rsidR="6A2D7309" w:rsidRDefault="6A2D7309" w:rsidP="6A2D7309">
            <w:pPr>
              <w:spacing w:after="0"/>
              <w:rPr>
                <w:rFonts w:eastAsia="Calibri" w:cs="Calibri"/>
                <w:szCs w:val="24"/>
              </w:rPr>
            </w:pPr>
          </w:p>
          <w:p w14:paraId="54CD8F12" w14:textId="50C9A13A" w:rsidR="00D07E20" w:rsidRDefault="492E8A79" w:rsidP="492E8A79">
            <w:pPr>
              <w:spacing w:after="0"/>
              <w:rPr>
                <w:rStyle w:val="tlid-translation"/>
                <w:rFonts w:eastAsia="Times New Roman" w:cs="Calibri"/>
              </w:rPr>
            </w:pPr>
            <w:r w:rsidRPr="492E8A79">
              <w:rPr>
                <w:rStyle w:val="tlid-translation"/>
                <w:rFonts w:eastAsia="Times New Roman" w:cs="Calibri"/>
              </w:rPr>
              <w:lastRenderedPageBreak/>
              <w:t xml:space="preserve">Future investments: The new applications are requiring new antenna and microwave devices in sub-THz (100-300 GHz) for 6G communications. At KTH, we should start moving in this direction and upgrade our infrastructures to be able to measure at those frequency regimes. </w:t>
            </w:r>
          </w:p>
          <w:p w14:paraId="31D968F2" w14:textId="2406D075" w:rsidR="00D07E20" w:rsidRPr="00D07E20" w:rsidRDefault="492E8A79" w:rsidP="0B3BBCF7">
            <w:pPr>
              <w:spacing w:after="0"/>
              <w:rPr>
                <w:rStyle w:val="tlid-translation"/>
                <w:rFonts w:eastAsia="Times New Roman" w:cs="Calibri"/>
              </w:rPr>
            </w:pPr>
            <w:r w:rsidRPr="492E8A79">
              <w:rPr>
                <w:rStyle w:val="tlid-translation"/>
                <w:rFonts w:eastAsia="Times New Roman" w:cs="Calibri"/>
              </w:rPr>
              <w:t xml:space="preserve">HVDC systems becomes more and more critical, some equipment of need is equipment for characterizing space charge accumulation in solids. Electro-optical equipment for studying electrical fields in liquids and on surfaces is also of interest. </w:t>
            </w:r>
          </w:p>
          <w:p w14:paraId="72C230C5" w14:textId="77777777" w:rsidR="00605687" w:rsidRDefault="00605687" w:rsidP="009372E1">
            <w:pPr>
              <w:spacing w:after="0"/>
              <w:rPr>
                <w:rStyle w:val="tlid-translation"/>
                <w:rFonts w:eastAsia="Times New Roman" w:cs="Calibri"/>
                <w:szCs w:val="24"/>
              </w:rPr>
            </w:pPr>
          </w:p>
          <w:p w14:paraId="556AB550" w14:textId="50815815" w:rsidR="00081690" w:rsidRPr="00377907" w:rsidRDefault="00377907" w:rsidP="009372E1">
            <w:pPr>
              <w:spacing w:after="0"/>
              <w:rPr>
                <w:rStyle w:val="tlid-translation"/>
                <w:rFonts w:eastAsia="Times New Roman" w:cs="Calibri"/>
                <w:szCs w:val="24"/>
              </w:rPr>
            </w:pPr>
            <w:r w:rsidRPr="00377907">
              <w:rPr>
                <w:rStyle w:val="tlid-translation"/>
                <w:rFonts w:eastAsia="Times New Roman" w:cs="Calibri"/>
                <w:szCs w:val="24"/>
              </w:rPr>
              <w:t>Fusion Plasma Physics</w:t>
            </w:r>
          </w:p>
          <w:p w14:paraId="0ADDAF08" w14:textId="77777777" w:rsidR="00081690" w:rsidRPr="00081690" w:rsidRDefault="00081690" w:rsidP="00081690">
            <w:pPr>
              <w:spacing w:after="0"/>
              <w:rPr>
                <w:rStyle w:val="tlid-translation"/>
                <w:rFonts w:eastAsia="Times New Roman" w:cs="Calibri"/>
                <w:szCs w:val="24"/>
              </w:rPr>
            </w:pPr>
            <w:r w:rsidRPr="00081690">
              <w:rPr>
                <w:rStyle w:val="tlid-translation"/>
                <w:rFonts w:eastAsia="Times New Roman" w:cs="Calibri"/>
                <w:szCs w:val="24"/>
              </w:rPr>
              <w:t xml:space="preserve">The in-house experimental device EXTRAP T2R operated by the Division of Fusion Plasma Physics produces a high energy density ionized gas – plasma – utilizing the method of magnetic confinement. The plasma has multiple potential uses, such as research on magnetic confinement fusion, materials research, and other plasma applications. The EXTRAP T2R device has been regularly upgraded and modified over the past years to provide possibilities for front-line research. The most significant recent upgrade has been the installation of a state-of-the-art plasma instability control system, utilizing arrays of active magnetic field coils, enabling front-line research in the area of active control of plasma instabilities. The device is currently used as a testbed for plasma instability control system development. The device is valuable for the research education at KTH and also on the national level, being the only experimental fusion device in Sweden. </w:t>
            </w:r>
          </w:p>
          <w:p w14:paraId="11ABCC86" w14:textId="75907A34" w:rsidR="00081690" w:rsidRDefault="00081690" w:rsidP="00081690">
            <w:pPr>
              <w:spacing w:after="0"/>
              <w:rPr>
                <w:rStyle w:val="tlid-translation"/>
                <w:rFonts w:eastAsia="Times New Roman" w:cs="Calibri"/>
                <w:szCs w:val="24"/>
              </w:rPr>
            </w:pPr>
            <w:r w:rsidRPr="00081690">
              <w:rPr>
                <w:rStyle w:val="tlid-translation"/>
                <w:rFonts w:eastAsia="Times New Roman" w:cs="Calibri"/>
                <w:szCs w:val="24"/>
              </w:rPr>
              <w:t>The Division uses and contributes to the development of the national infrastructure Tandem Laboratory at Uppsala University. One example of the involvement of Division is the development of a tool for quantitative surface analysis with depth profiling of material from metal-wall fusion devices installed at the accelerator in UU.</w:t>
            </w:r>
          </w:p>
          <w:p w14:paraId="25320ABE" w14:textId="75153342" w:rsidR="00081690" w:rsidRDefault="00081690" w:rsidP="009372E1">
            <w:pPr>
              <w:spacing w:after="0"/>
              <w:rPr>
                <w:rStyle w:val="tlid-translation"/>
                <w:rFonts w:eastAsia="Times New Roman" w:cs="Calibri"/>
                <w:szCs w:val="24"/>
              </w:rPr>
            </w:pPr>
          </w:p>
          <w:p w14:paraId="495C5DB1" w14:textId="77777777" w:rsidR="00081690" w:rsidRPr="00E74666" w:rsidRDefault="00081690" w:rsidP="009372E1">
            <w:pPr>
              <w:spacing w:after="0"/>
              <w:rPr>
                <w:rStyle w:val="tlid-translation"/>
                <w:rFonts w:eastAsia="Times New Roman" w:cs="Calibri"/>
                <w:szCs w:val="24"/>
              </w:rPr>
            </w:pPr>
          </w:p>
          <w:p w14:paraId="2450D69F" w14:textId="04F2673F" w:rsidR="00377907" w:rsidRPr="00377907" w:rsidRDefault="00377907" w:rsidP="3AF71CF5">
            <w:pPr>
              <w:spacing w:after="0"/>
              <w:rPr>
                <w:rFonts w:cs="Calibri"/>
              </w:rPr>
            </w:pPr>
            <w:r w:rsidRPr="00D71DC9">
              <w:rPr>
                <w:rFonts w:cs="Calibri"/>
                <w:lang w:val="en-US"/>
              </w:rPr>
              <w:t>Space and Plasma Physics</w:t>
            </w:r>
          </w:p>
          <w:p w14:paraId="793B408A" w14:textId="0EE93988" w:rsidR="00081690" w:rsidRPr="00605687" w:rsidRDefault="3AF71CF5" w:rsidP="3AF71CF5">
            <w:pPr>
              <w:spacing w:after="0"/>
              <w:rPr>
                <w:color w:val="FF0000"/>
              </w:rPr>
            </w:pPr>
            <w:r>
              <w:t>The division has its own electronics laboratory with a typical equipment for space electronics development.  In addition, the division is an important user of external major infrastructure facilities, such as thermal vacuum chamber at the SCI school, SSC rocket launch facility at Esrange, incoherent ionospheric radar EISCAT, ground magnetometer networks and others.</w:t>
            </w:r>
          </w:p>
          <w:p w14:paraId="242D8837" w14:textId="4A297044" w:rsidR="00EA773E" w:rsidRPr="00062E86" w:rsidRDefault="3AF71CF5" w:rsidP="49CB27EE">
            <w:pPr>
              <w:spacing w:before="240" w:after="0"/>
              <w:rPr>
                <w:rStyle w:val="tlid-translation"/>
                <w:rFonts w:cs="Calibri"/>
                <w:lang w:val="en-US"/>
              </w:rPr>
            </w:pPr>
            <w:r>
              <w:t>The complex plasma group purchased a computer dedicated to exploratory numerical simulations requiring moderate computational resources (100-1000 core-hours per run). Such simulations are typically too costly for conventional workstations, but remain manageable without resorting to high-performance computing facilities such as shared clusters. ​Concerning large scale, high performance computing resources, the group utilizes the Swedish National Infrastructure for Computing (SNIC) for CPU-based molecular dynamic simulations, the Roskilde cluster for GPU-based molecular dynamics simulations, the ITER cluster for computational fluid dynamics and European Supercomputing Centers for plasma simulations. The use of national and international high-performance computing resources is unavoidable, but the acquisition of more advanced workstations in the near future is important.</w:t>
            </w:r>
            <w:r w:rsidRPr="3AF71CF5">
              <w:rPr>
                <w:rStyle w:val="tlid-translation"/>
                <w:rFonts w:eastAsia="Times New Roman" w:cs="Calibri"/>
                <w:i/>
                <w:iCs/>
              </w:rPr>
              <w:t xml:space="preserve"> </w:t>
            </w:r>
          </w:p>
        </w:tc>
      </w:tr>
    </w:tbl>
    <w:p w14:paraId="0D7EEE76" w14:textId="77777777" w:rsidR="000D6B05" w:rsidRPr="0044157D" w:rsidRDefault="000D6B05" w:rsidP="000D6B05">
      <w:pPr>
        <w:spacing w:after="0"/>
        <w:rPr>
          <w:rFonts w:cs="Calibri"/>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6B05" w:rsidRPr="0044157D" w14:paraId="56F7BD30" w14:textId="77777777" w:rsidTr="50F906C4">
        <w:tc>
          <w:tcPr>
            <w:tcW w:w="8789" w:type="dxa"/>
            <w:shd w:val="clear" w:color="auto" w:fill="D9D9D9" w:themeFill="background1" w:themeFillShade="D9"/>
          </w:tcPr>
          <w:p w14:paraId="598ED113" w14:textId="090F530D" w:rsidR="000D6B05" w:rsidRPr="0044157D" w:rsidRDefault="004A185D" w:rsidP="00377907">
            <w:pPr>
              <w:keepNext/>
              <w:tabs>
                <w:tab w:val="left" w:pos="2115"/>
              </w:tabs>
              <w:spacing w:after="0"/>
              <w:rPr>
                <w:rStyle w:val="Strong"/>
                <w:rFonts w:cs="Calibri"/>
                <w:szCs w:val="24"/>
              </w:rPr>
            </w:pPr>
            <w:r>
              <w:rPr>
                <w:rFonts w:cs="Calibri"/>
                <w:b/>
                <w:szCs w:val="24"/>
              </w:rPr>
              <w:lastRenderedPageBreak/>
              <w:t>4</w:t>
            </w:r>
            <w:r w:rsidR="000D6B05" w:rsidRPr="0044157D">
              <w:rPr>
                <w:rFonts w:cs="Calibri"/>
                <w:b/>
                <w:szCs w:val="24"/>
              </w:rPr>
              <w:t>. Strategies and organization</w:t>
            </w:r>
          </w:p>
        </w:tc>
      </w:tr>
      <w:tr w:rsidR="000D6B05" w:rsidRPr="0044157D" w14:paraId="2189657E" w14:textId="77777777" w:rsidTr="50F906C4">
        <w:tc>
          <w:tcPr>
            <w:tcW w:w="8789" w:type="dxa"/>
          </w:tcPr>
          <w:p w14:paraId="7921BADE" w14:textId="77777777" w:rsidR="000D6B05" w:rsidRPr="0044157D" w:rsidRDefault="3AF71CF5" w:rsidP="00910D79">
            <w:pPr>
              <w:spacing w:after="120"/>
              <w:rPr>
                <w:rFonts w:cs="Calibri"/>
                <w:i/>
                <w:szCs w:val="24"/>
              </w:rPr>
            </w:pPr>
            <w:r w:rsidRPr="3AF71CF5">
              <w:rPr>
                <w:rStyle w:val="tlid-translation"/>
                <w:rFonts w:eastAsia="Times New Roman" w:cs="Calibri"/>
                <w:b/>
                <w:bCs/>
              </w:rPr>
              <w:t>a</w:t>
            </w:r>
            <w:r w:rsidRPr="3AF71CF5">
              <w:rPr>
                <w:rStyle w:val="tlid-translation"/>
                <w:rFonts w:eastAsia="Times New Roman" w:cs="Calibri"/>
                <w:b/>
                <w:bCs/>
                <w:i/>
                <w:iCs/>
              </w:rPr>
              <w:t>.</w:t>
            </w:r>
            <w:r w:rsidRPr="3AF71CF5">
              <w:rPr>
                <w:rStyle w:val="tlid-translation"/>
                <w:rFonts w:eastAsia="Times New Roman" w:cs="Calibri"/>
                <w:i/>
                <w:iCs/>
              </w:rPr>
              <w:t xml:space="preserve"> </w:t>
            </w:r>
            <w:r w:rsidRPr="3AF71CF5">
              <w:rPr>
                <w:rFonts w:cs="Calibri"/>
                <w:i/>
                <w:iCs/>
              </w:rPr>
              <w:t>Goals for development 5–10 years ahead</w:t>
            </w:r>
          </w:p>
          <w:p w14:paraId="3A89C6E4" w14:textId="5FC62D33" w:rsidR="009C6ED2" w:rsidRDefault="492E8A79" w:rsidP="492E8A79">
            <w:pPr>
              <w:spacing w:after="0"/>
              <w:rPr>
                <w:rStyle w:val="tlid-translation"/>
                <w:rFonts w:eastAsia="Times New Roman" w:cs="Calibri"/>
              </w:rPr>
            </w:pPr>
            <w:r w:rsidRPr="492E8A79">
              <w:rPr>
                <w:rStyle w:val="tlid-translation"/>
                <w:rFonts w:eastAsia="Times New Roman" w:cs="Calibri"/>
              </w:rPr>
              <w:t xml:space="preserve">As a newly formed department, but with roots in electrical engineering, the science that during the last hundred years has reshaped the society the most, we as organization are confident to take on the challenges for the future. The strategic decisions that need to be taken already now and that we will work on during the next 5-10 years have their overarching origin in the 17 Sustainable Development Goals formulated by the United Nations. </w:t>
            </w:r>
          </w:p>
          <w:p w14:paraId="5C2A644E" w14:textId="720C6A4C" w:rsidR="6A2D7309" w:rsidRDefault="6A2D7309" w:rsidP="6A2D7309">
            <w:pPr>
              <w:spacing w:after="0"/>
              <w:rPr>
                <w:rStyle w:val="tlid-translation"/>
                <w:rFonts w:eastAsia="Times New Roman" w:cs="Calibri"/>
              </w:rPr>
            </w:pPr>
          </w:p>
          <w:p w14:paraId="2C4311D8" w14:textId="107D2A25" w:rsidR="6A2D7309" w:rsidRDefault="492E8A79" w:rsidP="6A2D7309">
            <w:pPr>
              <w:spacing w:after="0"/>
              <w:rPr>
                <w:rStyle w:val="tlid-translation"/>
                <w:rFonts w:eastAsia="Times New Roman" w:cs="Calibri"/>
              </w:rPr>
            </w:pPr>
            <w:r w:rsidRPr="492E8A79">
              <w:rPr>
                <w:rStyle w:val="tlid-translation"/>
                <w:rFonts w:eastAsia="Times New Roman" w:cs="Calibri"/>
              </w:rPr>
              <w:t>Some of these SDGs have a clear contribution from EE and is in-line with our strategies:</w:t>
            </w:r>
          </w:p>
          <w:p w14:paraId="160104DF" w14:textId="13FF3724" w:rsidR="492E8A79" w:rsidRDefault="492E8A79" w:rsidP="492E8A79">
            <w:pPr>
              <w:spacing w:after="0"/>
              <w:rPr>
                <w:rStyle w:val="tlid-translation"/>
                <w:rFonts w:eastAsia="Times New Roman" w:cs="Calibri"/>
              </w:rPr>
            </w:pPr>
          </w:p>
          <w:p w14:paraId="04AF7723" w14:textId="1322AA42" w:rsidR="6A2D7309" w:rsidRDefault="492E8A79" w:rsidP="6A2D7309">
            <w:pPr>
              <w:spacing w:after="0"/>
              <w:rPr>
                <w:rStyle w:val="tlid-translation"/>
                <w:rFonts w:eastAsia="Times New Roman" w:cs="Calibri"/>
              </w:rPr>
            </w:pPr>
            <w:r w:rsidRPr="492E8A79">
              <w:rPr>
                <w:rStyle w:val="tlid-translation"/>
                <w:rFonts w:eastAsia="Times New Roman" w:cs="Calibri"/>
              </w:rPr>
              <w:t xml:space="preserve">SDG 7: Affordable and Clean Energy: The world has already started a transformation from a fossil based energy supply towards a sustainable world based of hydro-, wind- and solar power, and contributions from wave power is under development. </w:t>
            </w:r>
          </w:p>
          <w:p w14:paraId="53F391D9" w14:textId="3AC92125" w:rsidR="492E8A79" w:rsidRDefault="492E8A79" w:rsidP="492E8A79">
            <w:pPr>
              <w:spacing w:after="0"/>
              <w:rPr>
                <w:rStyle w:val="tlid-translation"/>
                <w:rFonts w:eastAsia="Times New Roman" w:cs="Calibri"/>
              </w:rPr>
            </w:pPr>
          </w:p>
          <w:p w14:paraId="193BA06B" w14:textId="043F2EBA" w:rsidR="6A2D7309" w:rsidRPr="00D3501C" w:rsidRDefault="492E8A79" w:rsidP="003A09D8">
            <w:pPr>
              <w:pStyle w:val="ListParagraph"/>
              <w:numPr>
                <w:ilvl w:val="0"/>
                <w:numId w:val="3"/>
              </w:numPr>
              <w:rPr>
                <w:rStyle w:val="tlid-translation"/>
                <w:rFonts w:ascii="Calibri" w:eastAsia="Calibri" w:hAnsi="Calibri" w:cs="Calibri"/>
                <w:lang w:val="en-US"/>
              </w:rPr>
            </w:pPr>
            <w:r w:rsidRPr="00D3501C">
              <w:rPr>
                <w:rStyle w:val="tlid-translation"/>
                <w:rFonts w:ascii="Calibri" w:eastAsia="Calibri" w:hAnsi="Calibri" w:cs="Calibri"/>
                <w:lang w:val="en-US"/>
              </w:rPr>
              <w:t xml:space="preserve">EE will continue to provide research of importance for ensuring that the electric power grid can host all possible energy sources and still operate under stable and efficient conditions. </w:t>
            </w:r>
          </w:p>
          <w:p w14:paraId="3862A20E" w14:textId="35ECDED9" w:rsidR="6A2D7309" w:rsidRPr="00D3501C" w:rsidRDefault="492E8A79" w:rsidP="003A09D8">
            <w:pPr>
              <w:pStyle w:val="ListParagraph"/>
              <w:numPr>
                <w:ilvl w:val="0"/>
                <w:numId w:val="3"/>
              </w:numPr>
              <w:rPr>
                <w:rStyle w:val="tlid-translation"/>
                <w:rFonts w:ascii="Calibri" w:eastAsia="Calibri" w:hAnsi="Calibri" w:cs="Calibri"/>
                <w:lang w:val="en-US"/>
              </w:rPr>
            </w:pPr>
            <w:r w:rsidRPr="00D3501C">
              <w:rPr>
                <w:rStyle w:val="tlid-translation"/>
                <w:rFonts w:ascii="Calibri" w:eastAsia="Calibri" w:hAnsi="Calibri" w:cs="Calibri"/>
                <w:lang w:val="en-US"/>
              </w:rPr>
              <w:t xml:space="preserve">EE contributes to the development of large scale fusion power. </w:t>
            </w:r>
          </w:p>
          <w:p w14:paraId="3C26253C" w14:textId="3A265FA6" w:rsidR="6A2D7309" w:rsidRDefault="6A2D7309" w:rsidP="6A2D7309">
            <w:pPr>
              <w:spacing w:after="0"/>
              <w:rPr>
                <w:rStyle w:val="tlid-translation"/>
                <w:rFonts w:eastAsia="Times New Roman" w:cs="Calibri"/>
              </w:rPr>
            </w:pPr>
          </w:p>
          <w:p w14:paraId="4813E7D1" w14:textId="2BF4DB29" w:rsidR="492E8A79" w:rsidRDefault="492E8A79" w:rsidP="492E8A79">
            <w:pPr>
              <w:rPr>
                <w:rFonts w:eastAsia="Calibri" w:cs="Calibri"/>
                <w:szCs w:val="24"/>
              </w:rPr>
            </w:pPr>
            <w:r w:rsidRPr="492E8A79">
              <w:rPr>
                <w:rStyle w:val="tlid-translation"/>
                <w:rFonts w:eastAsia="Times New Roman" w:cs="Calibri"/>
              </w:rPr>
              <w:t>The goals that contributes to SDG 7 has also an impact on SDG 13:</w:t>
            </w:r>
            <w:r w:rsidRPr="492E8A79">
              <w:rPr>
                <w:rFonts w:eastAsia="Calibri" w:cs="Calibri"/>
                <w:szCs w:val="24"/>
              </w:rPr>
              <w:t xml:space="preserve"> Climate Action as the renewable energy sources emit significantly less green-house gases. In SDG 13 we also contribute to the electrification of the transport sector with new core knowledge and innovative solutions from several areas within EE such as electrical machines, power electronics and electronic systems. This is also a contribution to SDG 9:  Industry, Innovation and Infrastructure. </w:t>
            </w:r>
          </w:p>
          <w:p w14:paraId="4D098968" w14:textId="7E69FBBB" w:rsidR="492E8A79" w:rsidRDefault="492E8A79" w:rsidP="492E8A79">
            <w:pPr>
              <w:rPr>
                <w:rFonts w:eastAsia="Calibri" w:cs="Calibri"/>
                <w:szCs w:val="24"/>
              </w:rPr>
            </w:pPr>
            <w:r w:rsidRPr="492E8A79">
              <w:rPr>
                <w:rFonts w:eastAsia="Calibri" w:cs="Calibri"/>
                <w:szCs w:val="24"/>
              </w:rPr>
              <w:t xml:space="preserve">Electronics and embedded systems form an area that can contribute to many fields depending on the final implementation of the developments. Examples exists already where we contribute to health science (SDG 3, 9 and 10) in the form of innovative products, see also section 6d on impact cases. Electronics for extreme temperature conditions is an example that has an impact for space research and leads to new findings about the universe that surrounds us. </w:t>
            </w:r>
          </w:p>
          <w:p w14:paraId="14740D61" w14:textId="6EBD5805" w:rsidR="6A2D7309" w:rsidRDefault="6A2D7309" w:rsidP="6A2D7309">
            <w:pPr>
              <w:spacing w:after="0"/>
              <w:rPr>
                <w:rStyle w:val="tlid-translation"/>
                <w:rFonts w:eastAsia="Times New Roman" w:cs="Calibri"/>
              </w:rPr>
            </w:pPr>
            <w:r w:rsidRPr="6A2D7309">
              <w:rPr>
                <w:rStyle w:val="tlid-translation"/>
                <w:rFonts w:eastAsia="Times New Roman" w:cs="Calibri"/>
              </w:rPr>
              <w:t xml:space="preserve">SDG 4: Quality education. </w:t>
            </w:r>
          </w:p>
          <w:p w14:paraId="56DFC1E8" w14:textId="6C4F19B9" w:rsidR="6A2D7309" w:rsidRDefault="492E8A79" w:rsidP="6A2D7309">
            <w:pPr>
              <w:spacing w:after="0"/>
              <w:rPr>
                <w:rStyle w:val="tlid-translation"/>
                <w:rFonts w:eastAsia="Times New Roman" w:cs="Calibri"/>
              </w:rPr>
            </w:pPr>
            <w:r w:rsidRPr="492E8A79">
              <w:rPr>
                <w:rStyle w:val="tlid-translation"/>
                <w:rFonts w:eastAsia="Times New Roman" w:cs="Calibri"/>
              </w:rPr>
              <w:t xml:space="preserve">We continue to develop quality in education. </w:t>
            </w:r>
          </w:p>
          <w:p w14:paraId="61355AA2" w14:textId="56EF4A35" w:rsidR="492E8A79" w:rsidRDefault="492E8A79" w:rsidP="492E8A79">
            <w:pPr>
              <w:spacing w:after="0"/>
              <w:rPr>
                <w:rStyle w:val="tlid-translation"/>
                <w:rFonts w:eastAsia="Times New Roman" w:cs="Calibri"/>
              </w:rPr>
            </w:pPr>
            <w:r w:rsidRPr="492E8A79">
              <w:rPr>
                <w:rStyle w:val="tlid-translation"/>
                <w:rFonts w:eastAsia="Times New Roman" w:cs="Calibri"/>
              </w:rPr>
              <w:t>Within 5 years we have:</w:t>
            </w:r>
          </w:p>
          <w:p w14:paraId="75B0FF42" w14:textId="618E6ED1" w:rsidR="6A2D7309" w:rsidRPr="00D3501C" w:rsidRDefault="492E8A79" w:rsidP="003A09D8">
            <w:pPr>
              <w:pStyle w:val="ListParagraph"/>
              <w:numPr>
                <w:ilvl w:val="0"/>
                <w:numId w:val="2"/>
              </w:numPr>
              <w:rPr>
                <w:rStyle w:val="tlid-translation"/>
                <w:rFonts w:ascii="Calibri" w:eastAsia="Calibri" w:hAnsi="Calibri" w:cs="Calibri"/>
                <w:lang w:val="en-US"/>
              </w:rPr>
            </w:pPr>
            <w:r w:rsidRPr="00D3501C">
              <w:rPr>
                <w:rStyle w:val="tlid-translation"/>
                <w:rFonts w:ascii="Calibri" w:eastAsia="Calibri" w:hAnsi="Calibri" w:cs="Calibri"/>
                <w:lang w:val="en-US"/>
              </w:rPr>
              <w:t xml:space="preserve">Increased the number of digitalized courses </w:t>
            </w:r>
          </w:p>
          <w:p w14:paraId="0DDE0431" w14:textId="15697148" w:rsidR="6A2D7309" w:rsidRPr="00D3501C" w:rsidRDefault="492E8A79" w:rsidP="003A09D8">
            <w:pPr>
              <w:pStyle w:val="ListParagraph"/>
              <w:numPr>
                <w:ilvl w:val="0"/>
                <w:numId w:val="2"/>
              </w:numPr>
              <w:rPr>
                <w:rStyle w:val="tlid-translation"/>
                <w:rFonts w:ascii="Calibri" w:eastAsia="Calibri" w:hAnsi="Calibri" w:cs="Calibri"/>
                <w:lang w:val="en-US"/>
              </w:rPr>
            </w:pPr>
            <w:r w:rsidRPr="00D3501C">
              <w:rPr>
                <w:rStyle w:val="tlid-translation"/>
                <w:rFonts w:ascii="Calibri" w:eastAsia="Calibri" w:hAnsi="Calibri" w:cs="Calibri"/>
                <w:lang w:val="en-US"/>
              </w:rPr>
              <w:t>Increased the number of specialized courses for life-long-learning and attracted industry participants to courses with course content close to research fronts</w:t>
            </w:r>
          </w:p>
          <w:p w14:paraId="1DEF6E47" w14:textId="169B5937" w:rsidR="6A2D7309" w:rsidRPr="00D3501C" w:rsidRDefault="492E8A79" w:rsidP="003A09D8">
            <w:pPr>
              <w:pStyle w:val="ListParagraph"/>
              <w:numPr>
                <w:ilvl w:val="0"/>
                <w:numId w:val="2"/>
              </w:numPr>
              <w:rPr>
                <w:rStyle w:val="tlid-translation"/>
                <w:rFonts w:ascii="Calibri" w:eastAsia="Calibri" w:hAnsi="Calibri" w:cs="Calibri"/>
                <w:lang w:val="en-US"/>
              </w:rPr>
            </w:pPr>
            <w:r w:rsidRPr="00D3501C">
              <w:rPr>
                <w:rStyle w:val="tlid-translation"/>
                <w:rFonts w:ascii="Calibri" w:eastAsia="Calibri" w:hAnsi="Calibri" w:cs="Calibri"/>
                <w:lang w:val="en-US"/>
              </w:rPr>
              <w:t>We have increased the share of national students in electrical engineering</w:t>
            </w:r>
          </w:p>
          <w:p w14:paraId="5FD03014" w14:textId="5C1E7CBD" w:rsidR="6A2D7309" w:rsidRPr="00D3501C" w:rsidRDefault="492E8A79" w:rsidP="003A09D8">
            <w:pPr>
              <w:pStyle w:val="ListParagraph"/>
              <w:numPr>
                <w:ilvl w:val="0"/>
                <w:numId w:val="2"/>
              </w:numPr>
              <w:rPr>
                <w:rStyle w:val="tlid-translation"/>
                <w:rFonts w:ascii="Calibri" w:eastAsia="Calibri" w:hAnsi="Calibri" w:cs="Calibri"/>
                <w:lang w:val="en-US"/>
              </w:rPr>
            </w:pPr>
            <w:r w:rsidRPr="00D3501C">
              <w:rPr>
                <w:rStyle w:val="tlid-translation"/>
                <w:rFonts w:ascii="Calibri" w:eastAsia="Calibri" w:hAnsi="Calibri" w:cs="Calibri"/>
                <w:lang w:val="en-US"/>
              </w:rPr>
              <w:t xml:space="preserve">We have a broad portfolio of international master programs </w:t>
            </w:r>
          </w:p>
          <w:p w14:paraId="6504EE24" w14:textId="5233FEBB" w:rsidR="6A2D7309" w:rsidRPr="00D3501C" w:rsidRDefault="492E8A79" w:rsidP="003A09D8">
            <w:pPr>
              <w:pStyle w:val="ListParagraph"/>
              <w:numPr>
                <w:ilvl w:val="0"/>
                <w:numId w:val="2"/>
              </w:numPr>
              <w:rPr>
                <w:rStyle w:val="tlid-translation"/>
                <w:rFonts w:ascii="Calibri" w:eastAsia="Calibri" w:hAnsi="Calibri" w:cs="Calibri"/>
                <w:lang w:val="en-US"/>
              </w:rPr>
            </w:pPr>
            <w:r w:rsidRPr="00D3501C">
              <w:rPr>
                <w:rStyle w:val="tlid-translation"/>
                <w:rFonts w:ascii="Calibri" w:eastAsia="Calibri" w:hAnsi="Calibri" w:cs="Calibri"/>
                <w:lang w:val="en-US"/>
              </w:rPr>
              <w:t>We have continued and strengthened our particpation in EIT programs</w:t>
            </w:r>
          </w:p>
          <w:p w14:paraId="5C326911" w14:textId="0B71733B" w:rsidR="492E8A79" w:rsidRDefault="492E8A79" w:rsidP="492E8A79">
            <w:pPr>
              <w:spacing w:after="0"/>
              <w:rPr>
                <w:rStyle w:val="tlid-translation"/>
                <w:rFonts w:eastAsia="Times New Roman" w:cs="Calibri"/>
              </w:rPr>
            </w:pPr>
          </w:p>
          <w:p w14:paraId="5F87B823" w14:textId="6B1D013B" w:rsidR="492E8A79" w:rsidRDefault="492E8A79" w:rsidP="492E8A79">
            <w:pPr>
              <w:spacing w:after="0"/>
              <w:rPr>
                <w:rStyle w:val="tlid-translation"/>
                <w:rFonts w:eastAsia="Times New Roman" w:cs="Calibri"/>
              </w:rPr>
            </w:pPr>
            <w:r w:rsidRPr="492E8A79">
              <w:rPr>
                <w:rStyle w:val="tlid-translation"/>
                <w:rFonts w:eastAsia="Times New Roman" w:cs="Calibri"/>
              </w:rPr>
              <w:t xml:space="preserve">The means to reach the goals and contribute to the global SDGs is through a strong and competent faculty where we also continuously increase the gender balance. We further </w:t>
            </w:r>
            <w:r w:rsidRPr="492E8A79">
              <w:rPr>
                <w:rStyle w:val="tlid-translation"/>
                <w:rFonts w:eastAsia="Times New Roman" w:cs="Calibri"/>
              </w:rPr>
              <w:lastRenderedPageBreak/>
              <w:t xml:space="preserve">strengthen the collaborations with the surrounding industry and we also increase our international research collaborations. </w:t>
            </w:r>
          </w:p>
          <w:p w14:paraId="1F90EA27" w14:textId="77777777" w:rsidR="000D6B05" w:rsidRPr="0044157D" w:rsidRDefault="000D6B05" w:rsidP="00910D79">
            <w:pPr>
              <w:spacing w:after="0"/>
              <w:rPr>
                <w:rStyle w:val="tlid-translation"/>
                <w:rFonts w:eastAsia="Times New Roman" w:cs="Calibri"/>
                <w:b/>
                <w:i/>
                <w:szCs w:val="24"/>
              </w:rPr>
            </w:pPr>
          </w:p>
          <w:p w14:paraId="15738A93" w14:textId="65567A68" w:rsidR="000D6B05" w:rsidRPr="007A0E06" w:rsidRDefault="492E8A79" w:rsidP="00910D79">
            <w:pPr>
              <w:spacing w:after="120"/>
              <w:rPr>
                <w:rStyle w:val="tlid-translation"/>
                <w:rFonts w:cs="Calibri"/>
                <w:color w:val="FF0000"/>
                <w:szCs w:val="24"/>
              </w:rPr>
            </w:pPr>
            <w:r w:rsidRPr="492E8A79">
              <w:rPr>
                <w:rStyle w:val="tlid-translation"/>
                <w:rFonts w:eastAsia="Times New Roman" w:cs="Calibri"/>
                <w:b/>
                <w:bCs/>
              </w:rPr>
              <w:t>b</w:t>
            </w:r>
            <w:r w:rsidRPr="492E8A79">
              <w:rPr>
                <w:rStyle w:val="tlid-translation"/>
                <w:rFonts w:eastAsia="Times New Roman" w:cs="Calibri"/>
                <w:b/>
                <w:bCs/>
                <w:i/>
                <w:iCs/>
              </w:rPr>
              <w:t xml:space="preserve">. </w:t>
            </w:r>
            <w:r w:rsidRPr="492E8A79">
              <w:rPr>
                <w:rFonts w:cs="Calibri"/>
                <w:i/>
                <w:iCs/>
              </w:rPr>
              <w:t xml:space="preserve">Congruence with university-level goals for research as set out in “A leading </w:t>
            </w:r>
            <w:r w:rsidRPr="492E8A79">
              <w:rPr>
                <w:rStyle w:val="tlid-translation"/>
                <w:rFonts w:eastAsia="Times New Roman" w:cs="Calibri"/>
                <w:i/>
                <w:iCs/>
              </w:rPr>
              <w:t>KTH - Development Plan 2018-23</w:t>
            </w:r>
            <w:r w:rsidRPr="492E8A79">
              <w:rPr>
                <w:rStyle w:val="tlid-translation"/>
                <w:rFonts w:eastAsia="Times New Roman" w:cs="Calibri"/>
                <w:i/>
                <w:iCs/>
                <w:color w:val="000000" w:themeColor="text1"/>
              </w:rPr>
              <w:t>” and with the school(s) development plan(s) respectively.</w:t>
            </w:r>
          </w:p>
          <w:p w14:paraId="19338F08" w14:textId="46153FAA" w:rsidR="492E8A79" w:rsidRDefault="492E8A79" w:rsidP="492E8A79">
            <w:pPr>
              <w:rPr>
                <w:rStyle w:val="tlid-translation"/>
                <w:rFonts w:eastAsia="Times New Roman" w:cs="Calibri"/>
              </w:rPr>
            </w:pPr>
            <w:r w:rsidRPr="492E8A79">
              <w:rPr>
                <w:rStyle w:val="tlid-translation"/>
                <w:rFonts w:eastAsia="Times New Roman" w:cs="Calibri"/>
              </w:rPr>
              <w:t xml:space="preserve">The EE department is highly active in all possible activities for a leading KTH, this whole document is a summary of our contribution to a leading KTH and will not be explicitly summarized here, but we will reflect on the other points. </w:t>
            </w:r>
          </w:p>
          <w:p w14:paraId="7358D4A5" w14:textId="491044E5" w:rsidR="492E8A79" w:rsidRDefault="492E8A79" w:rsidP="492E8A79">
            <w:pPr>
              <w:rPr>
                <w:rFonts w:eastAsia="Calibri" w:cs="Calibri"/>
                <w:szCs w:val="24"/>
              </w:rPr>
            </w:pPr>
            <w:r w:rsidRPr="492E8A79">
              <w:rPr>
                <w:rFonts w:eastAsia="Calibri" w:cs="Calibri"/>
                <w:szCs w:val="24"/>
              </w:rPr>
              <w:t xml:space="preserve">An integrated KTH: The EE department contributes with both teaching of fundamental courses on BSc level, but in particular with advanced courses on master level that over the years have been developed in close collaboration with the research. Our atmosphere is very open for students. For example, in master thesis projects we are good in connecting the students to our on-going research or with industry. We also have a sufficient infrastructure for research and teaching. We have the Electrum laboratory and we have the lab activities at Campus. We are presently taking a next step in the development of our infrastructure in the formation of the Sustainable Power Lab (SPL). We focus or teacher recruitments to emerging fields and follow the quality requirements that is expected; we also have a particular focus in all new recruitments to focus on improving our poor gender balance. </w:t>
            </w:r>
          </w:p>
          <w:p w14:paraId="52BAF7A9" w14:textId="058CEEC1" w:rsidR="6A2D7309" w:rsidRDefault="492E8A79" w:rsidP="6A2D7309">
            <w:pPr>
              <w:rPr>
                <w:rFonts w:eastAsia="Calibri" w:cs="Calibri"/>
                <w:szCs w:val="24"/>
              </w:rPr>
            </w:pPr>
            <w:r w:rsidRPr="492E8A79">
              <w:rPr>
                <w:rFonts w:eastAsia="Calibri" w:cs="Calibri"/>
                <w:szCs w:val="24"/>
              </w:rPr>
              <w:t xml:space="preserve">Our contribution to ‘A more sustainable KTH’ is through providing real key enablers such as advanced technology developments and deep-level understanding of system aspects that realizes the energy transition. All areas contribute in different ways, for example to provide energy efficient solutions in all aspects of electrical engineering whether it is energy efficient electronic systems, antennas or power electronic systems for high power applications. Our engagement is manifested in collaborations and consortia such as STandUP, SweGrids and InnoEnergy. These initiatives have rendered many PhDs that have been hired world-wide, but also new strategic teacher recruitments.  </w:t>
            </w:r>
          </w:p>
          <w:p w14:paraId="60BA23F7" w14:textId="38315BB7" w:rsidR="6A2D7309" w:rsidRDefault="492E8A79" w:rsidP="6A2D7309">
            <w:pPr>
              <w:rPr>
                <w:rStyle w:val="tlid-translation"/>
                <w:rFonts w:eastAsia="Times New Roman" w:cs="Calibri"/>
              </w:rPr>
            </w:pPr>
            <w:r w:rsidRPr="492E8A79">
              <w:rPr>
                <w:rStyle w:val="tlid-translation"/>
                <w:rFonts w:eastAsia="Times New Roman" w:cs="Calibri"/>
              </w:rPr>
              <w:t xml:space="preserve">We contribute to a large extent to ‘An open KTH’ as we are highly involved in creating creative and innovative study environments (contributing to several master programs, hosting Mentorspace, CrEE-lab, REXUS student space satellite project). We can do better on teacher mobility from academia to industry, although we have a good influence from industry through adjunct and affiliated professors and a strong industrial network with much collaboration. We can do more on life-long learning and we have addressed that in our goals. Our work environment is good, but stress can be reduced among the staff which is something that we are aware of. </w:t>
            </w:r>
          </w:p>
          <w:p w14:paraId="7E46D5D2" w14:textId="618D5B10" w:rsidR="6A2D7309" w:rsidRDefault="492E8A79" w:rsidP="492E8A79">
            <w:pPr>
              <w:rPr>
                <w:rFonts w:eastAsia="Calibri" w:cs="Calibri"/>
                <w:szCs w:val="24"/>
              </w:rPr>
            </w:pPr>
            <w:r w:rsidRPr="492E8A79">
              <w:rPr>
                <w:rFonts w:eastAsia="Calibri" w:cs="Calibri"/>
                <w:szCs w:val="24"/>
              </w:rPr>
              <w:t xml:space="preserve">‘An increasingly digitalised KTH’: the roots of digitalised technology are of course within EE. When it comes to education, we follow the evolution and adapt quickly to the requests from stakeholders such as students and industry. </w:t>
            </w:r>
          </w:p>
          <w:p w14:paraId="225D4A8D" w14:textId="7CE6ECD0" w:rsidR="6A2D7309" w:rsidRDefault="492E8A79" w:rsidP="6A2D7309">
            <w:pPr>
              <w:rPr>
                <w:rFonts w:eastAsia="Calibri" w:cs="Calibri"/>
                <w:szCs w:val="24"/>
              </w:rPr>
            </w:pPr>
            <w:r w:rsidRPr="492E8A79">
              <w:rPr>
                <w:rFonts w:eastAsia="Calibri" w:cs="Calibri"/>
                <w:szCs w:val="24"/>
              </w:rPr>
              <w:t xml:space="preserve">‘A more international KTH’ is manifested within EE in many ways: a significant portion of teachers with a background outside Sweden, a large number of international students, coordination and teaching of several master programs with a large number of international students. We have taken the leadership in the collaboration with </w:t>
            </w:r>
            <w:r w:rsidRPr="492E8A79">
              <w:rPr>
                <w:rFonts w:eastAsia="Calibri" w:cs="Calibri"/>
                <w:szCs w:val="24"/>
              </w:rPr>
              <w:lastRenderedPageBreak/>
              <w:t xml:space="preserve">universities in many situations, such as all partner universites within InnoEnergy and a recent agreement with IIT Madras. We are engaged in several EU-projects, but a goal is to strengthen the engagement further. </w:t>
            </w:r>
          </w:p>
          <w:p w14:paraId="07556ACC" w14:textId="1C2A85A7" w:rsidR="6A2D7309" w:rsidRDefault="492E8A79" w:rsidP="6A2D7309">
            <w:pPr>
              <w:rPr>
                <w:rFonts w:eastAsia="Calibri" w:cs="Calibri"/>
                <w:szCs w:val="24"/>
              </w:rPr>
            </w:pPr>
            <w:r w:rsidRPr="492E8A79">
              <w:rPr>
                <w:rFonts w:eastAsia="Calibri" w:cs="Calibri"/>
                <w:szCs w:val="24"/>
              </w:rPr>
              <w:t xml:space="preserve">When it comes to ‘An equal-opportunities KTH’ we have to confess that we have a low number of women among the staff and the faculty. We work hard on the task and are quite successful on PhD recruitments with up to 20% female students during periods. Any new position is carefully selected in order to foresee that the field can attract female applicants. </w:t>
            </w:r>
          </w:p>
          <w:p w14:paraId="242EC657" w14:textId="3CA5A3EF" w:rsidR="6A2D7309" w:rsidRDefault="6A2D7309" w:rsidP="6A2D7309">
            <w:pPr>
              <w:spacing w:after="0"/>
              <w:rPr>
                <w:rStyle w:val="tlid-translation"/>
                <w:rFonts w:eastAsia="Times New Roman" w:cs="Calibri"/>
              </w:rPr>
            </w:pPr>
          </w:p>
          <w:p w14:paraId="44F897A7" w14:textId="13D74720" w:rsidR="6A2D7309" w:rsidRDefault="492E8A79" w:rsidP="6A2D7309">
            <w:pPr>
              <w:spacing w:after="0"/>
              <w:rPr>
                <w:rStyle w:val="tlid-translation"/>
                <w:rFonts w:eastAsia="Times New Roman" w:cs="Calibri"/>
              </w:rPr>
            </w:pPr>
            <w:r w:rsidRPr="492E8A79">
              <w:rPr>
                <w:rStyle w:val="tlid-translation"/>
                <w:rFonts w:eastAsia="Times New Roman" w:cs="Calibri"/>
              </w:rPr>
              <w:t xml:space="preserve">Digitalisation: Digitalisation permeates almost all what we do. In 5-10 years, we can offer more of our teaching in well-designed courses that can be offered globally. More research projects will be based on larger amount of data collected from specific situations. </w:t>
            </w:r>
          </w:p>
          <w:p w14:paraId="14DDD05C" w14:textId="09A066FD" w:rsidR="6A2D7309" w:rsidRDefault="6A2D7309" w:rsidP="6A2D7309">
            <w:pPr>
              <w:spacing w:after="0"/>
              <w:rPr>
                <w:rStyle w:val="tlid-translation"/>
                <w:rFonts w:eastAsia="Times New Roman" w:cs="Calibri"/>
              </w:rPr>
            </w:pPr>
          </w:p>
          <w:p w14:paraId="3AF59EE8" w14:textId="77777777" w:rsidR="000D6B05" w:rsidRPr="0044157D" w:rsidRDefault="000D6B05" w:rsidP="00910D79">
            <w:pPr>
              <w:spacing w:after="0"/>
              <w:rPr>
                <w:rFonts w:cs="Calibri"/>
                <w:b/>
                <w:szCs w:val="24"/>
              </w:rPr>
            </w:pPr>
          </w:p>
          <w:p w14:paraId="7BDE0F82" w14:textId="77777777" w:rsidR="000D6B05" w:rsidRPr="007A0E06" w:rsidRDefault="580B22C3" w:rsidP="00910D79">
            <w:pPr>
              <w:spacing w:after="120"/>
              <w:rPr>
                <w:rStyle w:val="tlid-translation"/>
                <w:rFonts w:cs="Calibri"/>
                <w:color w:val="FF0000"/>
                <w:szCs w:val="24"/>
              </w:rPr>
            </w:pPr>
            <w:r w:rsidRPr="580B22C3">
              <w:rPr>
                <w:rFonts w:cs="Calibri"/>
                <w:b/>
                <w:bCs/>
              </w:rPr>
              <w:t>c.</w:t>
            </w:r>
            <w:r w:rsidRPr="580B22C3">
              <w:rPr>
                <w:rFonts w:cs="Calibri"/>
              </w:rPr>
              <w:t xml:space="preserve"> </w:t>
            </w:r>
            <w:r w:rsidRPr="580B22C3">
              <w:rPr>
                <w:rStyle w:val="tlid-translation"/>
                <w:rFonts w:eastAsia="Times New Roman" w:cs="Calibri"/>
                <w:i/>
                <w:iCs/>
                <w:color w:val="000000" w:themeColor="text1"/>
              </w:rPr>
              <w:t xml:space="preserve">Leadership structure and collegial structure </w:t>
            </w:r>
          </w:p>
          <w:p w14:paraId="3E4D7C5D" w14:textId="66B55B56" w:rsidR="580B22C3" w:rsidRDefault="0B3BBCF7" w:rsidP="0B3BBCF7">
            <w:pPr>
              <w:spacing w:after="0" w:line="259" w:lineRule="auto"/>
              <w:rPr>
                <w:rStyle w:val="tlid-translation"/>
                <w:rFonts w:eastAsia="Times New Roman" w:cs="Calibri"/>
              </w:rPr>
            </w:pPr>
            <w:r w:rsidRPr="0B3BBCF7">
              <w:rPr>
                <w:rStyle w:val="tlid-translation"/>
                <w:rFonts w:eastAsia="Times New Roman" w:cs="Calibri"/>
              </w:rPr>
              <w:t>The purpose of the formal leadership and delegation of authority within the department and divisions is to handle financial, HR and administrative matters in an efficient and transparent way. We have yearly cycles for development processes in place and the short-term operation is handled during management meetings at the department level. Within the divisions, the collegial structure has a stronger impact, where most plans and decisions regarding strategic direction, educational changes or investments require a broad consensus among faculty to be successful during implementation. Boundary conditions for research, staff and educational development are set at the department level, and much of the actual decisions and implementation is done within a collegial structure at the respective divisions. In addition to the division level collegial structure, the department also benefits from having four members on the EECS school level faculty assembly.</w:t>
            </w:r>
          </w:p>
          <w:p w14:paraId="50975E81" w14:textId="1783D662" w:rsidR="580B22C3" w:rsidRDefault="580B22C3" w:rsidP="580B22C3">
            <w:pPr>
              <w:spacing w:after="0" w:line="259" w:lineRule="auto"/>
              <w:rPr>
                <w:rStyle w:val="tlid-translation"/>
                <w:rFonts w:eastAsia="Times New Roman" w:cs="Calibri"/>
                <w:highlight w:val="yellow"/>
              </w:rPr>
            </w:pPr>
          </w:p>
          <w:p w14:paraId="28208BBF" w14:textId="3557FBEE" w:rsidR="000D6B05" w:rsidRDefault="000D6B05" w:rsidP="0B3BBCF7">
            <w:pPr>
              <w:spacing w:after="0" w:line="259" w:lineRule="auto"/>
              <w:rPr>
                <w:rStyle w:val="tlid-translation"/>
                <w:rFonts w:eastAsia="Times New Roman" w:cs="Calibri"/>
                <w:highlight w:val="yellow"/>
              </w:rPr>
            </w:pPr>
          </w:p>
          <w:p w14:paraId="039DE6C5" w14:textId="52BBE86D" w:rsidR="000D6B05" w:rsidRPr="00062E86" w:rsidRDefault="580B22C3" w:rsidP="00CC1179">
            <w:pPr>
              <w:spacing w:after="120"/>
              <w:rPr>
                <w:rStyle w:val="tlid-translation"/>
                <w:rFonts w:eastAsia="Times New Roman" w:cs="Calibri"/>
                <w:i/>
                <w:color w:val="000000" w:themeColor="text1"/>
                <w:szCs w:val="24"/>
              </w:rPr>
            </w:pPr>
            <w:r w:rsidRPr="580B22C3">
              <w:rPr>
                <w:rStyle w:val="tlid-translation"/>
                <w:rFonts w:eastAsia="Times New Roman" w:cs="Calibri"/>
                <w:b/>
                <w:bCs/>
                <w:color w:val="000000" w:themeColor="text1"/>
              </w:rPr>
              <w:t>d.</w:t>
            </w:r>
            <w:r w:rsidRPr="580B22C3">
              <w:rPr>
                <w:rStyle w:val="tlid-translation"/>
                <w:rFonts w:eastAsia="Times New Roman" w:cs="Calibri"/>
                <w:i/>
                <w:iCs/>
                <w:color w:val="000000" w:themeColor="text1"/>
              </w:rPr>
              <w:t xml:space="preserve"> Strategies for h</w:t>
            </w:r>
            <w:r w:rsidRPr="580B22C3">
              <w:rPr>
                <w:rStyle w:val="tlid-translation"/>
                <w:rFonts w:eastAsia="Times New Roman"/>
                <w:i/>
                <w:iCs/>
                <w:color w:val="000000" w:themeColor="text1"/>
              </w:rPr>
              <w:t xml:space="preserve">igh </w:t>
            </w:r>
            <w:r w:rsidRPr="580B22C3">
              <w:rPr>
                <w:rStyle w:val="tlid-translation"/>
                <w:rFonts w:eastAsia="Times New Roman" w:cs="Calibri"/>
                <w:i/>
                <w:iCs/>
                <w:color w:val="000000" w:themeColor="text1"/>
              </w:rPr>
              <w:t>q</w:t>
            </w:r>
            <w:r w:rsidRPr="580B22C3">
              <w:rPr>
                <w:rStyle w:val="tlid-translation"/>
                <w:rFonts w:eastAsia="Times New Roman"/>
                <w:i/>
                <w:iCs/>
                <w:color w:val="000000" w:themeColor="text1"/>
              </w:rPr>
              <w:t xml:space="preserve">uality </w:t>
            </w:r>
          </w:p>
          <w:p w14:paraId="2E71D5C3" w14:textId="43B2CC4B" w:rsidR="580B22C3" w:rsidRDefault="0B3BBCF7" w:rsidP="0B3BBCF7">
            <w:pPr>
              <w:spacing w:after="0" w:line="259" w:lineRule="auto"/>
              <w:rPr>
                <w:rFonts w:eastAsia="Times New Roman"/>
              </w:rPr>
            </w:pPr>
            <w:r w:rsidRPr="0B3BBCF7">
              <w:rPr>
                <w:rFonts w:eastAsia="Times New Roman"/>
              </w:rPr>
              <w:t xml:space="preserve">Our strategies for high quality follow a combined bottom-up and top-down approach. Bottom-up, much of the quality assurance is implemented via the individual researchers’ and supervisors’ ethics and desire for excellence. Quality checkpoints are e.g. internal quality reviews in conjunction with PhD defences. For the faculty and research staff individual development dialogues with division heads are mandatory and include research quality assessments. From the top-down perspective, the quality assurance is governed by regular updates of the department development plan, and follow-up of this plan within the school. Additionally, with regards to publications each of the divisions has developed a publication strategy which has also been aggregated into a school level publication strategy. The strategy covers aspects, such as quality assurance in publication and increase of OpenAccess publishing. The department is relatively young, having been formed only at the start of 2020, and as such the quality </w:t>
            </w:r>
            <w:r w:rsidRPr="0B3BBCF7">
              <w:rPr>
                <w:rFonts w:eastAsia="Times New Roman"/>
              </w:rPr>
              <w:lastRenderedPageBreak/>
              <w:t xml:space="preserve">assurance processes are so far only established at school and division levels. This research assessment exercise is a first attempt towards a more cohesive department level strategy for high quality. </w:t>
            </w:r>
            <w:commentRangeStart w:id="9"/>
            <w:commentRangeEnd w:id="9"/>
          </w:p>
          <w:p w14:paraId="444EE3E3" w14:textId="7B58465E" w:rsidR="000D6B05" w:rsidRPr="0044157D" w:rsidRDefault="000D6B05" w:rsidP="0B3BBCF7">
            <w:pPr>
              <w:spacing w:after="0"/>
              <w:rPr>
                <w:rFonts w:eastAsia="Times New Roman"/>
                <w:highlight w:val="yellow"/>
              </w:rPr>
            </w:pPr>
          </w:p>
        </w:tc>
      </w:tr>
      <w:tr w:rsidR="6A2D7309" w14:paraId="552CBAE1" w14:textId="77777777" w:rsidTr="50F906C4">
        <w:tc>
          <w:tcPr>
            <w:tcW w:w="8789" w:type="dxa"/>
          </w:tcPr>
          <w:p w14:paraId="146E26F1" w14:textId="3F723FFC" w:rsidR="6A2D7309" w:rsidRDefault="6A2D7309" w:rsidP="6A2D7309">
            <w:pPr>
              <w:rPr>
                <w:rStyle w:val="tlid-translation"/>
                <w:rFonts w:eastAsia="Times New Roman" w:cs="Calibri"/>
                <w:b/>
                <w:bCs/>
              </w:rPr>
            </w:pPr>
          </w:p>
        </w:tc>
      </w:tr>
    </w:tbl>
    <w:p w14:paraId="2F074713" w14:textId="77777777" w:rsidR="000D6B05" w:rsidRPr="0044157D" w:rsidRDefault="000D6B05" w:rsidP="000D6B05">
      <w:pPr>
        <w:spacing w:after="0"/>
        <w:rPr>
          <w:rFonts w:cs="Calibri"/>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6B05" w:rsidRPr="0044157D" w14:paraId="082E81ED" w14:textId="77777777" w:rsidTr="492E8A79">
        <w:tc>
          <w:tcPr>
            <w:tcW w:w="8789" w:type="dxa"/>
            <w:shd w:val="clear" w:color="auto" w:fill="D9D9D9" w:themeFill="background1" w:themeFillShade="D9"/>
          </w:tcPr>
          <w:p w14:paraId="453E7580" w14:textId="76AAC1B9" w:rsidR="000D6B05" w:rsidRPr="0044157D" w:rsidRDefault="004A185D" w:rsidP="00910D79">
            <w:pPr>
              <w:spacing w:after="0"/>
              <w:rPr>
                <w:rStyle w:val="Strong"/>
                <w:rFonts w:cs="Calibri"/>
                <w:szCs w:val="24"/>
              </w:rPr>
            </w:pPr>
            <w:r>
              <w:rPr>
                <w:rFonts w:cs="Calibri"/>
                <w:b/>
                <w:szCs w:val="24"/>
              </w:rPr>
              <w:t>5</w:t>
            </w:r>
            <w:r w:rsidR="00B45E83">
              <w:rPr>
                <w:rFonts w:cs="Calibri"/>
                <w:b/>
                <w:szCs w:val="24"/>
              </w:rPr>
              <w:t>.</w:t>
            </w:r>
            <w:r w:rsidR="000D6B05" w:rsidRPr="0044157D">
              <w:rPr>
                <w:rFonts w:cs="Calibri"/>
                <w:b/>
                <w:szCs w:val="24"/>
              </w:rPr>
              <w:t xml:space="preserve"> Interaction between research and teaching</w:t>
            </w:r>
          </w:p>
        </w:tc>
      </w:tr>
      <w:tr w:rsidR="000D6B05" w:rsidRPr="0044157D" w14:paraId="75C6E5EF" w14:textId="77777777" w:rsidTr="492E8A79">
        <w:tc>
          <w:tcPr>
            <w:tcW w:w="8789" w:type="dxa"/>
          </w:tcPr>
          <w:p w14:paraId="7B3B0D14" w14:textId="1FAA98AA" w:rsidR="000D6B05" w:rsidRPr="0044157D" w:rsidRDefault="62CEFCF0" w:rsidP="00910D79">
            <w:pPr>
              <w:spacing w:after="120"/>
              <w:rPr>
                <w:rFonts w:cs="Calibri"/>
                <w:szCs w:val="24"/>
              </w:rPr>
            </w:pPr>
            <w:r w:rsidRPr="62CEFCF0">
              <w:rPr>
                <w:rFonts w:cs="Calibri"/>
                <w:b/>
                <w:bCs/>
              </w:rPr>
              <w:t>a.</w:t>
            </w:r>
            <w:r w:rsidRPr="62CEFCF0">
              <w:rPr>
                <w:rFonts w:cs="Calibri"/>
              </w:rPr>
              <w:t xml:space="preserve"> </w:t>
            </w:r>
            <w:r w:rsidRPr="62CEFCF0">
              <w:rPr>
                <w:rStyle w:val="tlid-translation"/>
                <w:rFonts w:eastAsia="Times New Roman" w:cs="Calibri"/>
                <w:i/>
                <w:iCs/>
              </w:rPr>
              <w:t>Interaction between research and teaching at all three levels (BSc, MSc, PhD) of education</w:t>
            </w:r>
            <w:r w:rsidRPr="62CEFCF0">
              <w:rPr>
                <w:rFonts w:cs="Calibri"/>
              </w:rPr>
              <w:t xml:space="preserve"> </w:t>
            </w:r>
          </w:p>
          <w:p w14:paraId="20C60742" w14:textId="520F75D6" w:rsidR="62CEFCF0" w:rsidRDefault="62CEFCF0">
            <w:r w:rsidRPr="62CEFCF0">
              <w:rPr>
                <w:rFonts w:eastAsia="Calibri" w:cs="Calibri"/>
                <w:szCs w:val="24"/>
              </w:rPr>
              <w:t xml:space="preserve">The teaching of courses given by the EE department are all taught by assistant-, associate- or full professors or docent competent researchers. As an implication there are high incentives that teachers can exemplify from recent research in their teaching, irrespective of course level. </w:t>
            </w:r>
          </w:p>
          <w:p w14:paraId="424618AF" w14:textId="6F2BE767" w:rsidR="62CEFCF0" w:rsidRDefault="62CEFCF0">
            <w:r w:rsidRPr="62CEFCF0">
              <w:rPr>
                <w:rFonts w:eastAsia="Calibri" w:cs="Calibri"/>
                <w:szCs w:val="24"/>
              </w:rPr>
              <w:t>Teaching on BSc level (First cycle) is basically on a fundamental level. The department is involved in the two, five years (300 credits) Degree Programmes in Electrical Engineering, (CELTE) and Information and Communication Technology, (CINTE), where courses from EE forms the backbone to build upon in later courses. Courses are also provided to the degree programs in Energy and Environment, (CENMI), and Engineering Physics, (CTFYS).</w:t>
            </w:r>
          </w:p>
          <w:p w14:paraId="59122776" w14:textId="783556FF" w:rsidR="62CEFCF0" w:rsidRDefault="62CEFCF0" w:rsidP="62CEFCF0">
            <w:pPr>
              <w:rPr>
                <w:rFonts w:eastAsia="Calibri" w:cs="Calibri"/>
                <w:szCs w:val="24"/>
              </w:rPr>
            </w:pPr>
            <w:r w:rsidRPr="62CEFCF0">
              <w:rPr>
                <w:rFonts w:eastAsia="Calibri" w:cs="Calibri"/>
                <w:szCs w:val="24"/>
              </w:rPr>
              <w:t>The department is responsible for the Degree program (högskoleingenjör) in Electronics and Computer Science at Bachelor level. This program is located at Campus Kista. The department is also involved in the degree program (högskoleingenjör) in Electrical Engineering and in particular the track towards Electrical Power.</w:t>
            </w:r>
          </w:p>
          <w:p w14:paraId="0791EE3A" w14:textId="2B9EAA36" w:rsidR="62CEFCF0" w:rsidRDefault="62CEFCF0">
            <w:r w:rsidRPr="62CEFCF0">
              <w:rPr>
                <w:rFonts w:eastAsia="Calibri" w:cs="Calibri"/>
                <w:szCs w:val="24"/>
              </w:rPr>
              <w:t xml:space="preserve">The research methodology is for example trained and gradually built up in project courses where achieved knowledge is applied in projects and finally in the First Cycle Degree Projects (15 hp). One example is from the CELTE program where there are projects in year 1 (EH1010), year 2 (EN1020) and year 3 (degree projects) that forms a progression line with gradually more advanced themes.  </w:t>
            </w:r>
          </w:p>
          <w:p w14:paraId="7342B6A0" w14:textId="6163A980" w:rsidR="62CEFCF0" w:rsidRDefault="3AF71CF5">
            <w:r w:rsidRPr="3AF71CF5">
              <w:rPr>
                <w:rFonts w:eastAsia="Calibri" w:cs="Calibri"/>
                <w:szCs w:val="24"/>
              </w:rPr>
              <w:t xml:space="preserve">As a department with a high degree of applied science, most of the teaching is on MSc level (Second cycle) level and with a natural transfer of recent knowledge into courses in the form of new assignments, project tasks etc. The advanced master courses are naturally the bridge to the master thesis degree projects, which commonly are performed in connection to industry R&amp;D projects or to on-going research projects at some research group. PhD students are commonly involved as teaching assistants in courses on BSc and MSc levels and can there provide influence from research. Beside of that, it is common that MSc thesis projects are defined in connection to a PhD thesis project, and mutual benefit will occur. It is not uncommon that an excellent MSc thesis student then will be the best candidate for a PhD project as a continuation of the MSc thesis. The department is involved in the following (120 credits, two years) master programs: Electric Power Engineering (TELPM), Electromagnetics, Fusion and Space Engineering (TEFRM), Embedded Systems (TEBSM), Nanotechnology (TNTEM), Vehicle Engineering (TFORM). The department is also responsible for the coordination of the master programmes in Energy Innovation (TIETM), which is an umbrella program </w:t>
            </w:r>
            <w:r w:rsidRPr="3AF71CF5">
              <w:rPr>
                <w:rFonts w:eastAsia="Calibri" w:cs="Calibri"/>
                <w:szCs w:val="24"/>
              </w:rPr>
              <w:lastRenderedPageBreak/>
              <w:t xml:space="preserve">consisting of several tracks that in reality are first of second years in any double degree program within the EIT (European Institute of Innovation Technology)/ InnoEnergy masters. A particular responsibility is for the SENSE (Smart Electrical Networks and SystEms) master which is coordinated by EE. In the EIT programs, the focus is to strengthen the innovation skills rather than the research skills.   </w:t>
            </w:r>
          </w:p>
          <w:p w14:paraId="322D2DB1" w14:textId="65E9819B" w:rsidR="62CEFCF0" w:rsidRDefault="60497C50" w:rsidP="60497C50">
            <w:pPr>
              <w:rPr>
                <w:rFonts w:eastAsia="Calibri" w:cs="Calibri"/>
                <w:szCs w:val="24"/>
              </w:rPr>
            </w:pPr>
            <w:r w:rsidRPr="60497C50">
              <w:rPr>
                <w:rFonts w:eastAsia="Calibri" w:cs="Calibri"/>
                <w:szCs w:val="24"/>
              </w:rPr>
              <w:t>The research within EE is to a high degree connected with PhD thesis projects; pure research projects without the involvement of PhD students are less common. The connection between PhD student projects and the research activities are therefore obvious. Specific third cycle courses are provided for PhDs with dedicated advanced content. There are more than 100 PhD courses at EE with a defined course plan and about 15 of these are actually offered each semester.</w:t>
            </w:r>
          </w:p>
          <w:p w14:paraId="4E637E4C" w14:textId="019BCBE3" w:rsidR="62CEFCF0" w:rsidRDefault="62CEFCF0">
            <w:r w:rsidRPr="62CEFCF0">
              <w:rPr>
                <w:rFonts w:eastAsia="Calibri" w:cs="Calibri"/>
                <w:szCs w:val="24"/>
              </w:rPr>
              <w:t xml:space="preserve">In order to foster creativity – the link between existing knowledge and research/innovation – we are hosting two workshop environments for student activities: </w:t>
            </w:r>
          </w:p>
          <w:p w14:paraId="608CDF18" w14:textId="1FD4D043" w:rsidR="62CEFCF0" w:rsidRDefault="492E8A79">
            <w:r w:rsidRPr="492E8A79">
              <w:rPr>
                <w:rFonts w:eastAsia="Calibri" w:cs="Calibri"/>
                <w:szCs w:val="24"/>
              </w:rPr>
              <w:t xml:space="preserve">Mentorspace in Kista campus: </w:t>
            </w:r>
          </w:p>
          <w:p w14:paraId="54C74A9C" w14:textId="273B0013" w:rsidR="62CEFCF0" w:rsidRDefault="492E8A79" w:rsidP="60497C50">
            <w:pPr>
              <w:rPr>
                <w:rFonts w:eastAsia="Calibri" w:cs="Calibri"/>
                <w:szCs w:val="24"/>
                <w:highlight w:val="yellow"/>
              </w:rPr>
            </w:pPr>
            <w:r w:rsidRPr="492E8A79">
              <w:rPr>
                <w:rFonts w:eastAsia="Calibri" w:cs="Calibri"/>
                <w:szCs w:val="24"/>
              </w:rPr>
              <w:t>The Mentorspace is open to students and external organisations such as businesses and community groups to work on an idea, prototype or project in the area of electrical engineering and computer science. The space is very interdisciplinary and is frequently used by students and professionals from other disciplines as well. For example, it has been used by Konstfack, Karolinska Institutet and Stockholms Stad for various workshops and prototyping. The Mentorspace is also engaging young students to uncover their passion through hands-on workshops that include mentors from industry and the local community.  The Mentorspace is free to use, and the equipment is donated by various organisations. Most of the material being used is rescued, repurposed and recycled electronics. We also have donated equipment which includes two 3-D printers and a laser cutter.</w:t>
            </w:r>
          </w:p>
          <w:p w14:paraId="79749EF3" w14:textId="14E8166F" w:rsidR="62CEFCF0" w:rsidRDefault="492E8A79">
            <w:r w:rsidRPr="492E8A79">
              <w:rPr>
                <w:rFonts w:eastAsia="Calibri" w:cs="Calibri"/>
                <w:szCs w:val="24"/>
              </w:rPr>
              <w:t xml:space="preserve">Creative Electrical Engineering (CrEE-lab) – is a student workshop at KTH campus with a similar approach as the Mentorspace. It is a workshop that gradually grows from an in-house workshop for student projects with the intention to become a pan-KTH student facility. </w:t>
            </w:r>
          </w:p>
          <w:p w14:paraId="5A93DE60" w14:textId="45176750" w:rsidR="000D6B05" w:rsidRPr="0044157D" w:rsidRDefault="492E8A79" w:rsidP="6A2D7309">
            <w:pPr>
              <w:spacing w:after="0"/>
              <w:rPr>
                <w:rFonts w:eastAsia="Calibri" w:cs="Calibri"/>
                <w:color w:val="000000" w:themeColor="text1"/>
                <w:szCs w:val="24"/>
              </w:rPr>
            </w:pPr>
            <w:r w:rsidRPr="492E8A79">
              <w:rPr>
                <w:rFonts w:eastAsia="Calibri" w:cs="Calibri"/>
                <w:color w:val="000000" w:themeColor="text1"/>
                <w:szCs w:val="24"/>
              </w:rPr>
              <w:t>We actively participate in the s</w:t>
            </w:r>
            <w:r w:rsidRPr="00D5218C">
              <w:rPr>
                <w:rFonts w:eastAsia="Calibri" w:cs="Calibri"/>
                <w:color w:val="000000" w:themeColor="text1"/>
                <w:szCs w:val="24"/>
              </w:rPr>
              <w:t>tudent rocket project</w:t>
            </w:r>
            <w:r w:rsidRPr="492E8A79">
              <w:rPr>
                <w:rFonts w:eastAsia="Calibri" w:cs="Calibri"/>
                <w:color w:val="000000" w:themeColor="text1"/>
                <w:szCs w:val="24"/>
              </w:rPr>
              <w:t xml:space="preserve"> programme as </w:t>
            </w:r>
            <w:r w:rsidRPr="00D5218C">
              <w:rPr>
                <w:rFonts w:eastAsia="Calibri" w:cs="Calibri"/>
                <w:color w:val="000000" w:themeColor="text1"/>
                <w:szCs w:val="24"/>
              </w:rPr>
              <w:t xml:space="preserve">part </w:t>
            </w:r>
            <w:r w:rsidRPr="00D5218C">
              <w:t xml:space="preserve">of the </w:t>
            </w:r>
            <w:hyperlink r:id="rId46" w:history="1">
              <w:r w:rsidRPr="00377907">
                <w:rPr>
                  <w:rStyle w:val="Hyperlink"/>
                  <w:rFonts w:eastAsia="Georgia" w:cs="Calibri"/>
                  <w:color w:val="auto"/>
                  <w:szCs w:val="24"/>
                </w:rPr>
                <w:t>REXUS/BEXUS programme</w:t>
              </w:r>
            </w:hyperlink>
            <w:r w:rsidRPr="00377907">
              <w:rPr>
                <w:rStyle w:val="Hyperlink"/>
                <w:rFonts w:eastAsia="Calibri" w:cs="Calibri"/>
                <w:color w:val="auto"/>
                <w:szCs w:val="24"/>
              </w:rPr>
              <w:t xml:space="preserve"> (</w:t>
            </w:r>
            <w:r w:rsidR="00377907">
              <w:rPr>
                <w:rFonts w:eastAsia="Georgia" w:cs="Calibri"/>
                <w:szCs w:val="24"/>
                <w:u w:val="single"/>
              </w:rPr>
              <w:t>http://rexusbexus.net)</w:t>
            </w:r>
            <w:r w:rsidRPr="00377907">
              <w:rPr>
                <w:rFonts w:eastAsia="Calibri" w:cs="Calibri"/>
                <w:szCs w:val="24"/>
                <w:u w:val="single"/>
              </w:rPr>
              <w:t>,</w:t>
            </w:r>
            <w:r w:rsidRPr="00D5218C">
              <w:rPr>
                <w:rFonts w:eastAsia="Calibri" w:cs="Calibri"/>
                <w:color w:val="000000" w:themeColor="text1"/>
                <w:szCs w:val="24"/>
              </w:rPr>
              <w:t xml:space="preserve"> </w:t>
            </w:r>
            <w:r w:rsidRPr="492E8A79">
              <w:rPr>
                <w:rFonts w:eastAsia="Calibri" w:cs="Calibri"/>
                <w:color w:val="000000" w:themeColor="text1"/>
                <w:szCs w:val="24"/>
              </w:rPr>
              <w:t>which is realized under a bilateral Agency Agreement between the German Aerospace Centre (DLR) and the Swedish National Space Board (SNSB), in collaboration with the European Space Agency (ESA). The annual programme gives student teams from ESA member countries an opportunity to launch their experiment on a REXUS sounding rocket or a BEXUS high altitude balloon from Esrange near Kiruna. We support one student REXUS team almost every year.</w:t>
            </w:r>
          </w:p>
        </w:tc>
      </w:tr>
    </w:tbl>
    <w:p w14:paraId="6A6FF297" w14:textId="77777777" w:rsidR="000D6B05" w:rsidRPr="0044157D" w:rsidRDefault="000D6B05" w:rsidP="000D6B05">
      <w:pPr>
        <w:spacing w:after="0"/>
        <w:rPr>
          <w:rFonts w:cs="Calibri"/>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6B05" w:rsidRPr="0044157D" w14:paraId="32959DDC" w14:textId="77777777" w:rsidTr="50F906C4">
        <w:tc>
          <w:tcPr>
            <w:tcW w:w="8789" w:type="dxa"/>
            <w:shd w:val="clear" w:color="auto" w:fill="D9D9D9" w:themeFill="background1" w:themeFillShade="D9"/>
          </w:tcPr>
          <w:p w14:paraId="02D7F9C5" w14:textId="0FD6BBBD" w:rsidR="000D6B05" w:rsidRPr="0044157D" w:rsidRDefault="004A185D" w:rsidP="00062E86">
            <w:pPr>
              <w:pStyle w:val="Heading2"/>
              <w:spacing w:before="0" w:after="0" w:line="240" w:lineRule="auto"/>
              <w:rPr>
                <w:rStyle w:val="Strong"/>
                <w:rFonts w:cs="Calibri"/>
                <w:b/>
                <w:bCs/>
                <w:szCs w:val="24"/>
              </w:rPr>
            </w:pPr>
            <w:r>
              <w:rPr>
                <w:rFonts w:ascii="Calibri" w:hAnsi="Calibri" w:cs="Calibri"/>
                <w:szCs w:val="24"/>
              </w:rPr>
              <w:t>6</w:t>
            </w:r>
            <w:r w:rsidR="000D6B05" w:rsidRPr="0044157D">
              <w:rPr>
                <w:rFonts w:ascii="Calibri" w:hAnsi="Calibri" w:cs="Calibri"/>
                <w:szCs w:val="24"/>
              </w:rPr>
              <w:t>. Impact and engagement in society</w:t>
            </w:r>
          </w:p>
        </w:tc>
      </w:tr>
      <w:tr w:rsidR="000D6B05" w:rsidRPr="0044157D" w14:paraId="3E06D249" w14:textId="77777777" w:rsidTr="50F906C4">
        <w:tc>
          <w:tcPr>
            <w:tcW w:w="8789" w:type="dxa"/>
          </w:tcPr>
          <w:p w14:paraId="30D5C99B" w14:textId="77777777" w:rsidR="000D6B05" w:rsidRPr="0044157D" w:rsidRDefault="000D6B05" w:rsidP="00910D79">
            <w:pPr>
              <w:spacing w:after="120"/>
              <w:rPr>
                <w:rFonts w:cs="Calibri"/>
                <w:i/>
                <w:w w:val="105"/>
                <w:szCs w:val="24"/>
              </w:rPr>
            </w:pPr>
            <w:r w:rsidRPr="3AF71CF5">
              <w:rPr>
                <w:rFonts w:cs="Calibri"/>
                <w:b/>
                <w:bCs/>
                <w:w w:val="105"/>
              </w:rPr>
              <w:t>a.</w:t>
            </w:r>
            <w:r w:rsidRPr="492E8A79">
              <w:rPr>
                <w:rFonts w:cs="Calibri"/>
                <w:i/>
                <w:iCs/>
                <w:w w:val="105"/>
              </w:rPr>
              <w:t xml:space="preserve"> Relevance of research to society at large </w:t>
            </w:r>
          </w:p>
          <w:p w14:paraId="772894C1" w14:textId="56110D4A" w:rsidR="492E8A79" w:rsidRDefault="492E8A79">
            <w:r w:rsidRPr="492E8A79">
              <w:rPr>
                <w:rFonts w:eastAsia="Calibri" w:cs="Calibri"/>
                <w:szCs w:val="24"/>
                <w:lang w:val="en-US"/>
              </w:rPr>
              <w:lastRenderedPageBreak/>
              <w:t xml:space="preserve">The impact of our research to society is mainly a long-term contribution to better welfare on earth. The contributions are in general a long-term methodical and sustainable knowledge development that contributes to improved electrical and electronic devices and systems performance. Attributes such as high robustness, efficiency, capacity, sustainability, etc. are a consequence of our research. Examples can be taken from high temperature electronics, efficient embedded electronic systems in end user applications, improved electricity market design, reliable power components, efficient power electronic topologies for industrial as well as power grid applications, improved fusion reactor design and better understanding of the near-earth space physics. </w:t>
            </w:r>
          </w:p>
          <w:p w14:paraId="4BA6A3E1" w14:textId="363FB6EC" w:rsidR="492E8A79" w:rsidRDefault="492E8A79" w:rsidP="492E8A79">
            <w:pPr>
              <w:rPr>
                <w:rFonts w:eastAsia="Calibri" w:cs="Calibri"/>
                <w:szCs w:val="24"/>
                <w:lang w:val="en-US"/>
              </w:rPr>
            </w:pPr>
            <w:r w:rsidRPr="492E8A79">
              <w:rPr>
                <w:rFonts w:eastAsia="Calibri" w:cs="Calibri"/>
                <w:szCs w:val="24"/>
                <w:lang w:val="en-US"/>
              </w:rPr>
              <w:t>The external stakeholders are authorities such as the Energy Agency, power grid utilities such as Ellevio and Vattenfall, technology manufacturing companies or large scale such as ABB, Ericsson and Scania, or small-scale start-up companies such as SciBreak. These stakeholders form the interface between our academic research and society at large.</w:t>
            </w:r>
          </w:p>
          <w:p w14:paraId="695F30C3" w14:textId="0C8AD06A" w:rsidR="492E8A79" w:rsidRDefault="492E8A79">
            <w:r w:rsidRPr="492E8A79">
              <w:rPr>
                <w:rFonts w:eastAsia="Calibri" w:cs="Calibri"/>
                <w:szCs w:val="24"/>
                <w:lang w:val="en-US"/>
              </w:rPr>
              <w:t>Most of the large companies have a strategic partnership with KTH.  These companies participate to a large extent in our research programs and networks (STandUP, SweGrids, InnoEnergy, etc.) and can bring the research into their processes, both directly or indirectly by recruitment of our educated PhD students and Master students.</w:t>
            </w:r>
          </w:p>
          <w:p w14:paraId="25A29088" w14:textId="31DDF6DC" w:rsidR="492E8A79" w:rsidRDefault="492E8A79" w:rsidP="492E8A79">
            <w:r w:rsidRPr="492E8A79">
              <w:rPr>
                <w:rFonts w:eastAsia="Calibri" w:cs="Calibri"/>
                <w:szCs w:val="24"/>
                <w:lang w:val="en-US"/>
              </w:rPr>
              <w:t>We also have a number of engagements in society networks on different levels, such as in the local Kista Science City which forms an important network of companies in the Kista area. The business incubator STING was formed by these actors.</w:t>
            </w:r>
          </w:p>
          <w:p w14:paraId="75320650" w14:textId="77777777" w:rsidR="000D6B05" w:rsidRPr="00CC1179" w:rsidRDefault="000D6B05" w:rsidP="00910D79">
            <w:pPr>
              <w:spacing w:after="0"/>
              <w:rPr>
                <w:rFonts w:cs="Calibri"/>
                <w:b/>
                <w:iCs/>
                <w:w w:val="105"/>
                <w:szCs w:val="24"/>
              </w:rPr>
            </w:pPr>
          </w:p>
          <w:p w14:paraId="1B291769" w14:textId="097F5CE4" w:rsidR="000D6B05" w:rsidRPr="0044157D" w:rsidRDefault="000D6B05" w:rsidP="00910D79">
            <w:pPr>
              <w:spacing w:after="120"/>
              <w:rPr>
                <w:rFonts w:cs="Calibri"/>
                <w:i/>
                <w:w w:val="105"/>
                <w:szCs w:val="24"/>
              </w:rPr>
            </w:pPr>
            <w:r w:rsidRPr="492E8A79">
              <w:rPr>
                <w:rFonts w:cs="Calibri"/>
                <w:b/>
                <w:bCs/>
                <w:w w:val="105"/>
              </w:rPr>
              <w:t>b.</w:t>
            </w:r>
            <w:r w:rsidRPr="492E8A79">
              <w:rPr>
                <w:rFonts w:cs="Calibri"/>
                <w:i/>
                <w:iCs/>
                <w:w w:val="105"/>
              </w:rPr>
              <w:t xml:space="preserve"> Research </w:t>
            </w:r>
            <w:r w:rsidR="00F72DE6" w:rsidRPr="492E8A79">
              <w:rPr>
                <w:rFonts w:cs="Calibri"/>
                <w:i/>
                <w:iCs/>
                <w:w w:val="105"/>
              </w:rPr>
              <w:t>dissemination beyond academia</w:t>
            </w:r>
          </w:p>
          <w:p w14:paraId="178E3208" w14:textId="56C61854" w:rsidR="0B3BBCF7" w:rsidRDefault="492E8A79" w:rsidP="0B3BBCF7">
            <w:pPr>
              <w:rPr>
                <w:color w:val="FF0000"/>
              </w:rPr>
            </w:pPr>
            <w:r w:rsidRPr="492E8A79">
              <w:t xml:space="preserve">This is a field where we can do more, and we have started the work on a communication strategy. We have presently faculty that contributes with articles in popular science magazines (Forskning&amp;Framsteg, (Research&amp;Progress)), and faculty that frequently participates in the energy debate (e.g. SVT 2019-05-10, SvD 2019-08-24)). We are active in different political interactions such as “Sällskapet för Riksdagsledamöter och forskare”. Some articles in Swedish press also appear around our contribution to the space research. Some of our electronics research has also been noticed in ‘Elektronik I Norden’. </w:t>
            </w:r>
          </w:p>
          <w:p w14:paraId="02F6DBFC" w14:textId="4AD061CD" w:rsidR="000D6B05" w:rsidRPr="0044157D" w:rsidRDefault="000D6B05" w:rsidP="3141DCD1">
            <w:pPr>
              <w:spacing w:after="0"/>
              <w:rPr>
                <w:rFonts w:cs="Calibri"/>
                <w:w w:val="105"/>
                <w:lang w:val="en-US"/>
              </w:rPr>
            </w:pPr>
          </w:p>
          <w:p w14:paraId="4CCB7E2C" w14:textId="77777777" w:rsidR="000D6B05" w:rsidRDefault="000D6B05" w:rsidP="492E8A79">
            <w:pPr>
              <w:spacing w:after="120"/>
              <w:rPr>
                <w:rFonts w:cs="Calibri"/>
              </w:rPr>
            </w:pPr>
            <w:r w:rsidRPr="3AF71CF5">
              <w:rPr>
                <w:rFonts w:cs="Calibri"/>
                <w:b/>
                <w:bCs/>
                <w:w w:val="105"/>
              </w:rPr>
              <w:t>c.</w:t>
            </w:r>
            <w:r w:rsidRPr="3AF71CF5">
              <w:rPr>
                <w:rFonts w:cs="Calibri"/>
                <w:w w:val="105"/>
              </w:rPr>
              <w:t xml:space="preserve"> </w:t>
            </w:r>
            <w:r w:rsidRPr="492E8A79">
              <w:rPr>
                <w:rFonts w:cs="Calibri"/>
                <w:i/>
                <w:iCs/>
                <w:w w:val="105"/>
              </w:rPr>
              <w:t>Sustainability</w:t>
            </w:r>
            <w:r>
              <w:t xml:space="preserve"> </w:t>
            </w:r>
            <w:r w:rsidRPr="492E8A79">
              <w:rPr>
                <w:rFonts w:cs="Calibri"/>
                <w:i/>
                <w:iCs/>
                <w:w w:val="105"/>
              </w:rPr>
              <w:t>and the United Nations’ Sustainable Development Goals (SDG)</w:t>
            </w:r>
          </w:p>
          <w:p w14:paraId="5631911E" w14:textId="14F0B346" w:rsidR="000D6B05" w:rsidRDefault="492E8A79" w:rsidP="492E8A79">
            <w:pPr>
              <w:spacing w:after="120"/>
              <w:rPr>
                <w:rFonts w:eastAsia="Calibri" w:cs="Calibri"/>
                <w:szCs w:val="24"/>
              </w:rPr>
            </w:pPr>
            <w:r w:rsidRPr="492E8A79">
              <w:rPr>
                <w:rFonts w:cs="Calibri"/>
              </w:rPr>
              <w:t xml:space="preserve">Much of what we intend to do in relation to the SDGs has been described in section 4a on strategies.  One of our major outputs is the contribution to energy technologies and systems that can host all possible renewable energy sources at all system levels in the electric power grid. A concrete example is our </w:t>
            </w:r>
            <w:r w:rsidR="000D6B05" w:rsidRPr="3AF71CF5">
              <w:rPr>
                <w:rFonts w:cs="Calibri"/>
                <w:w w:val="105"/>
                <w:lang w:val="en-US"/>
              </w:rPr>
              <w:t xml:space="preserve">active role in the research on new solutions for HVDC power transmission, both components and systems are addressed. In later years, the focus has shifted to the possibility of connecting HVDC links into grids. A large research area in this field is the integration of the energy from large off-shore windfarms. Another important field within the department is the research of the </w:t>
            </w:r>
            <w:r w:rsidRPr="492E8A79">
              <w:rPr>
                <w:rFonts w:eastAsia="Calibri" w:cs="Calibri"/>
                <w:i/>
                <w:iCs/>
                <w:szCs w:val="24"/>
              </w:rPr>
              <w:t>Division of Fusion Plasma Physics</w:t>
            </w:r>
            <w:r w:rsidRPr="492E8A79">
              <w:rPr>
                <w:rFonts w:eastAsia="Calibri" w:cs="Calibri"/>
                <w:szCs w:val="24"/>
              </w:rPr>
              <w:t xml:space="preserve"> which is focused </w:t>
            </w:r>
            <w:r w:rsidRPr="492E8A79">
              <w:rPr>
                <w:rFonts w:eastAsia="Calibri" w:cs="Calibri"/>
                <w:szCs w:val="24"/>
              </w:rPr>
              <w:lastRenderedPageBreak/>
              <w:t xml:space="preserve">on the long-term development of </w:t>
            </w:r>
            <w:r w:rsidRPr="492E8A79">
              <w:rPr>
                <w:rFonts w:eastAsia="Calibri" w:cs="Calibri"/>
                <w:i/>
                <w:iCs/>
                <w:szCs w:val="24"/>
              </w:rPr>
              <w:t>fusion energy</w:t>
            </w:r>
            <w:r w:rsidRPr="492E8A79">
              <w:rPr>
                <w:rFonts w:eastAsia="Calibri" w:cs="Calibri"/>
                <w:szCs w:val="24"/>
              </w:rPr>
              <w:t xml:space="preserve">. In the United Nations report, </w:t>
            </w:r>
            <w:r w:rsidRPr="492E8A79">
              <w:rPr>
                <w:rFonts w:eastAsia="Calibri" w:cs="Calibri"/>
                <w:i/>
                <w:iCs/>
                <w:szCs w:val="24"/>
              </w:rPr>
              <w:t>Our Common Future (UN, 1987)</w:t>
            </w:r>
            <w:r w:rsidRPr="492E8A79">
              <w:rPr>
                <w:rFonts w:eastAsia="Calibri" w:cs="Calibri"/>
                <w:szCs w:val="24"/>
              </w:rPr>
              <w:t xml:space="preserve"> it is stated that at present, no single source, or mix of sources is at hand to meet the world’s future need of a sustainable energy supply. It is noteworthy that the UN report lists fusion reactors (as well as fission breeder reactors) as a future sustainable energy source. The optimism regarding fusion energy in the UN report resonates well with the current ambitious plans of the European Commission for development of fusion reactors. </w:t>
            </w:r>
          </w:p>
          <w:p w14:paraId="212937F4" w14:textId="22C2E978" w:rsidR="000D6B05" w:rsidRDefault="492E8A79" w:rsidP="492E8A79">
            <w:pPr>
              <w:spacing w:after="120" w:line="259" w:lineRule="auto"/>
              <w:rPr>
                <w:rFonts w:eastAsia="Calibri" w:cs="Calibri"/>
                <w:szCs w:val="24"/>
              </w:rPr>
            </w:pPr>
            <w:r w:rsidRPr="492E8A79">
              <w:rPr>
                <w:rFonts w:eastAsia="Calibri" w:cs="Calibri"/>
                <w:szCs w:val="24"/>
              </w:rPr>
              <w:t xml:space="preserve">The energy related research alone will ensure that our research related to sustainable development would be in the span of 40-60%. Additional contributions to the SDGs are described in 4a and examples can be found among the impact cases, for example a method for skin cancer detection that contributes to SDG 3, 9 and 10.  </w:t>
            </w:r>
          </w:p>
          <w:p w14:paraId="04E171E9" w14:textId="00C2EBC4" w:rsidR="000D6B05" w:rsidRDefault="492E8A79" w:rsidP="492E8A79">
            <w:pPr>
              <w:spacing w:after="120" w:line="259" w:lineRule="auto"/>
              <w:rPr>
                <w:rFonts w:eastAsia="Calibri" w:cs="Calibri"/>
                <w:szCs w:val="24"/>
              </w:rPr>
            </w:pPr>
            <w:r w:rsidRPr="492E8A79">
              <w:rPr>
                <w:rFonts w:eastAsia="Calibri" w:cs="Calibri"/>
                <w:szCs w:val="24"/>
              </w:rPr>
              <w:t xml:space="preserve">Sustainable development has been a key area in many of our research programs over the last five years.  We have participated in several large programs that address sustainability, that is STandUP, SweGrids, InnoEnergy, EuroFusion and Swedish Electromobility Center. STandUP has contributed to several faculty positions. The program SweGrids ends in 2021, but during its phase III we managed to recruit 12 female PhD students out of 30, that is 40% and a good example where we locally contribute to SDG 5 (Gender equality).  </w:t>
            </w:r>
          </w:p>
          <w:p w14:paraId="790D4341" w14:textId="75EF3C3B" w:rsidR="492E8A79" w:rsidRDefault="492E8A79" w:rsidP="492E8A79">
            <w:pPr>
              <w:spacing w:after="0"/>
              <w:rPr>
                <w:rFonts w:cs="Calibri"/>
                <w:b/>
                <w:bCs/>
              </w:rPr>
            </w:pPr>
          </w:p>
          <w:p w14:paraId="351AD5A5" w14:textId="5EAAE047" w:rsidR="000D6B05" w:rsidRPr="0044157D" w:rsidRDefault="6A2D7309" w:rsidP="00812580">
            <w:pPr>
              <w:spacing w:after="120"/>
              <w:rPr>
                <w:rFonts w:cs="Calibri"/>
                <w:i/>
                <w:szCs w:val="24"/>
              </w:rPr>
            </w:pPr>
            <w:r w:rsidRPr="6A2D7309">
              <w:rPr>
                <w:rFonts w:cs="Calibri"/>
                <w:b/>
                <w:bCs/>
              </w:rPr>
              <w:t>d.</w:t>
            </w:r>
            <w:r w:rsidRPr="6A2D7309">
              <w:rPr>
                <w:rFonts w:cs="Calibri"/>
                <w:i/>
                <w:iCs/>
              </w:rPr>
              <w:t xml:space="preserve"> Impact cases </w:t>
            </w:r>
          </w:p>
          <w:p w14:paraId="7C3C54EF" w14:textId="59DA929B" w:rsidR="6A2D7309" w:rsidRDefault="492E8A79" w:rsidP="6A2D7309">
            <w:pPr>
              <w:spacing w:after="0"/>
              <w:rPr>
                <w:rFonts w:cs="Calibri"/>
                <w:lang w:val="en-US"/>
              </w:rPr>
            </w:pPr>
            <w:r w:rsidRPr="492E8A79">
              <w:rPr>
                <w:rFonts w:cs="Calibri"/>
                <w:lang w:val="en-US"/>
              </w:rPr>
              <w:t xml:space="preserve">The research within the department has created impact in many fields. Here were we have selected the following impact cases: The startup company SCiBreak; A new and implemented method for skin cancer detection (melanoma); 2. Impact on space research: Multi-spacecraft mission ESA Cluster and NASA MMS; 3. Electrical Impedance Spectroscopy ASIC for Skin Cancer Detection; 4. SiLago: Silicon Lego as the Basis for Design Automation of High-Performance, Energy Efficient Custom Computing;  5. ITER-Like Wall in the JET (Joint European Torus)  6.  Water Drop Lens Antenna (for space applications.) The last selected impact case: 7. Silicon-carbide-based power converters for electrostatic precipitators, demonstrates how our developments have had impact in large-scale industry applications. The selected impact cases demonstrate both the width and depth of the research outcome from the different research areas within EE. It is also clear that the impact spans over several sustainable development goals, like improved health and clean environment. </w:t>
            </w:r>
          </w:p>
          <w:p w14:paraId="4AFF62AC" w14:textId="0E7342F0" w:rsidR="0B3BBCF7" w:rsidRDefault="0B3BBCF7" w:rsidP="0B3BBCF7">
            <w:pPr>
              <w:spacing w:after="0"/>
              <w:rPr>
                <w:rFonts w:cs="Calibri"/>
                <w:lang w:val="en-US"/>
              </w:rPr>
            </w:pPr>
          </w:p>
          <w:p w14:paraId="1CB7652B" w14:textId="0121AD90" w:rsidR="62CEFCF0" w:rsidRDefault="492E8A79" w:rsidP="003A09D8">
            <w:pPr>
              <w:pStyle w:val="ListParagraph"/>
              <w:numPr>
                <w:ilvl w:val="0"/>
                <w:numId w:val="1"/>
              </w:numPr>
              <w:jc w:val="center"/>
              <w:rPr>
                <w:b/>
                <w:bCs/>
                <w:sz w:val="28"/>
                <w:szCs w:val="28"/>
                <w:lang w:val="en-US"/>
              </w:rPr>
            </w:pPr>
            <w:r w:rsidRPr="492E8A79">
              <w:rPr>
                <w:rFonts w:ascii="Calibri" w:eastAsia="Calibri" w:hAnsi="Calibri" w:cs="Calibri"/>
                <w:b/>
                <w:bCs/>
                <w:sz w:val="28"/>
                <w:szCs w:val="28"/>
                <w:lang w:val="en-US"/>
              </w:rPr>
              <w:t>Startup Company SCiBreak AB</w:t>
            </w:r>
          </w:p>
          <w:p w14:paraId="375EBDFF" w14:textId="0EEB423E" w:rsidR="62CEFCF0" w:rsidRDefault="492E8A79" w:rsidP="62CEFCF0">
            <w:pPr>
              <w:rPr>
                <w:rFonts w:eastAsia="Calibri" w:cs="Calibri"/>
                <w:szCs w:val="24"/>
                <w:lang w:val="en-US"/>
              </w:rPr>
            </w:pPr>
            <w:r w:rsidRPr="492E8A79">
              <w:rPr>
                <w:rFonts w:eastAsia="Calibri" w:cs="Calibri"/>
                <w:szCs w:val="24"/>
                <w:lang w:val="en-US"/>
              </w:rPr>
              <w:t xml:space="preserve">SCiBreak AB is a spin-off company from the power electronics group at KTH founded in 2014, and it currently employs seven persons. The company management and key persons have all either studied or worked in the group. SCibreak develops ultrafast circuit breakers for medium and high voltages based on a patented technology that radically reduces cost compared to competing solutions. It is based on combining power electronic converters and vacuum interrupters in an intelligent fashion. This reduces the requirements on the power electronics, thus reducing the amount of expensive power semiconductors needed. Two patents protecting the technology have been granted, and several are pending. SCibreak has been part of the standardization </w:t>
            </w:r>
            <w:r w:rsidRPr="492E8A79">
              <w:rPr>
                <w:rFonts w:eastAsia="Calibri" w:cs="Calibri"/>
                <w:szCs w:val="24"/>
                <w:lang w:val="en-US"/>
              </w:rPr>
              <w:lastRenderedPageBreak/>
              <w:t>of HVDC breakers and their testing procedures. This has been made together with the large incumbent manufacturers ABB and Mitsubishi Electric within the Horizon 2020 Project PROMOTioN. In 2018 a SCiBreak-manufactured breaker module was successfully tested at the well-renowned KEMA laboratory in the Netherlands, within the framework of the same project.</w:t>
            </w:r>
          </w:p>
          <w:p w14:paraId="166B833F" w14:textId="494B9FD2" w:rsidR="62CEFCF0" w:rsidRDefault="492E8A79" w:rsidP="62CEFCF0">
            <w:r w:rsidRPr="492E8A79">
              <w:rPr>
                <w:rFonts w:eastAsia="Calibri" w:cs="Calibri"/>
                <w:szCs w:val="24"/>
                <w:lang w:val="en-US"/>
              </w:rPr>
              <w:t xml:space="preserve">The company got its first major order in 2019, of 38 MSEK, to deliver protection equipment for the Swedish Transport Administration. The Swedish railway system is seeing increased passenger streams, which calls for more railway traffic. To make this possible also the power supply needs to be upgraded. This, however, may cause the fault currents to exceed allowable limits, which is risky and therefore no allowed. One option is to upgrade the entire downstream network, but this is extremely expensive. However, with the SCiBreak's ultrafast technology for fault current interruption the problem of excessive fault currents can be mitigated. Thus, the equipment will allow for a needed capacity increase in the railway power supply system at acceptable cost.  </w:t>
            </w:r>
          </w:p>
          <w:p w14:paraId="62F17734" w14:textId="42AED7B9" w:rsidR="492E8A79" w:rsidRDefault="492E8A79" w:rsidP="492E8A79">
            <w:pPr>
              <w:jc w:val="center"/>
            </w:pPr>
            <w:r>
              <w:rPr>
                <w:noProof/>
                <w:lang w:val="sv-SE" w:eastAsia="sv-SE"/>
              </w:rPr>
              <w:drawing>
                <wp:inline distT="0" distB="0" distL="0" distR="0" wp14:anchorId="2FAF28C3" wp14:editId="4A2FA4E1">
                  <wp:extent cx="2822414" cy="2428885"/>
                  <wp:effectExtent l="0" t="0" r="0" b="0"/>
                  <wp:docPr id="257404239" name="Picture 257404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extLst>
                              <a:ext uri="{28A0092B-C50C-407E-A947-70E740481C1C}">
                                <a14:useLocalDpi xmlns:a14="http://schemas.microsoft.com/office/drawing/2010/main" val="0"/>
                              </a:ext>
                            </a:extLst>
                          </a:blip>
                          <a:srcRect t="13333" b="4375"/>
                          <a:stretch>
                            <a:fillRect/>
                          </a:stretch>
                        </pic:blipFill>
                        <pic:spPr>
                          <a:xfrm>
                            <a:off x="0" y="0"/>
                            <a:ext cx="2822414" cy="2428885"/>
                          </a:xfrm>
                          <a:prstGeom prst="rect">
                            <a:avLst/>
                          </a:prstGeom>
                        </pic:spPr>
                      </pic:pic>
                    </a:graphicData>
                  </a:graphic>
                </wp:inline>
              </w:drawing>
            </w:r>
          </w:p>
          <w:p w14:paraId="7C013776" w14:textId="30AB282F" w:rsidR="492E8A79" w:rsidRDefault="492E8A79" w:rsidP="492E8A79">
            <w:pPr>
              <w:jc w:val="center"/>
              <w:rPr>
                <w:rFonts w:eastAsia="Calibri" w:cs="Calibri"/>
                <w:i/>
                <w:iCs/>
                <w:szCs w:val="24"/>
                <w:lang w:val="en-US"/>
              </w:rPr>
            </w:pPr>
            <w:r w:rsidRPr="492E8A79">
              <w:rPr>
                <w:rFonts w:eastAsia="Calibri" w:cs="Calibri"/>
                <w:i/>
                <w:iCs/>
                <w:szCs w:val="24"/>
                <w:lang w:val="en-US"/>
              </w:rPr>
              <w:t xml:space="preserve">SCiBreak HVDC breaker module </w:t>
            </w:r>
          </w:p>
          <w:p w14:paraId="1C1A0A3B" w14:textId="153ED557" w:rsidR="708C6F57" w:rsidRDefault="05EA6DE4" w:rsidP="003A09D8">
            <w:pPr>
              <w:pStyle w:val="ListParagraph"/>
              <w:numPr>
                <w:ilvl w:val="0"/>
                <w:numId w:val="1"/>
              </w:numPr>
              <w:jc w:val="center"/>
              <w:rPr>
                <w:rFonts w:ascii="Calibri" w:eastAsia="Calibri" w:hAnsi="Calibri" w:cs="Calibri"/>
                <w:b/>
                <w:bCs/>
                <w:sz w:val="28"/>
                <w:szCs w:val="28"/>
                <w:lang w:val="en-US"/>
              </w:rPr>
            </w:pPr>
            <w:r w:rsidRPr="05EA6DE4">
              <w:rPr>
                <w:rFonts w:ascii="Calibri" w:eastAsia="Calibri" w:hAnsi="Calibri" w:cs="Calibri"/>
                <w:b/>
                <w:bCs/>
                <w:sz w:val="28"/>
                <w:szCs w:val="28"/>
                <w:lang w:val="en-US"/>
              </w:rPr>
              <w:t>Impact on space research</w:t>
            </w:r>
            <w:r w:rsidR="708C6F57" w:rsidRPr="00D3501C">
              <w:rPr>
                <w:lang w:val="en-US"/>
              </w:rPr>
              <w:br/>
            </w:r>
            <w:r w:rsidRPr="05EA6DE4">
              <w:rPr>
                <w:rFonts w:ascii="Calibri" w:eastAsia="Calibri" w:hAnsi="Calibri" w:cs="Calibri"/>
                <w:b/>
                <w:bCs/>
                <w:sz w:val="28"/>
                <w:szCs w:val="28"/>
                <w:lang w:val="en-US"/>
              </w:rPr>
              <w:t>Multi-spacecraft mission ESA Cluster and NASA MMS</w:t>
            </w:r>
            <w:r w:rsidR="708C6F57" w:rsidRPr="00D3501C">
              <w:rPr>
                <w:lang w:val="en-US"/>
              </w:rPr>
              <w:br/>
            </w:r>
          </w:p>
          <w:p w14:paraId="627E02AC" w14:textId="0B0B5DA0" w:rsidR="708C6F57" w:rsidRDefault="708C6F57" w:rsidP="06831449">
            <w:pPr>
              <w:spacing w:after="0"/>
              <w:rPr>
                <w:rFonts w:cs="Calibri"/>
                <w:lang w:val="en-US"/>
              </w:rPr>
            </w:pPr>
            <w:r>
              <w:rPr>
                <w:noProof/>
                <w:lang w:val="sv-SE" w:eastAsia="sv-SE"/>
              </w:rPr>
              <w:drawing>
                <wp:anchor distT="0" distB="0" distL="114300" distR="114300" simplePos="0" relativeHeight="251658240" behindDoc="0" locked="0" layoutInCell="1" allowOverlap="1" wp14:anchorId="52E66B0A" wp14:editId="0F595EB9">
                  <wp:simplePos x="0" y="0"/>
                  <wp:positionH relativeFrom="column">
                    <wp:align>left</wp:align>
                  </wp:positionH>
                  <wp:positionV relativeFrom="paragraph">
                    <wp:posOffset>0</wp:posOffset>
                  </wp:positionV>
                  <wp:extent cx="2631367" cy="2291482"/>
                  <wp:effectExtent l="0" t="0" r="0" b="0"/>
                  <wp:wrapSquare wrapText="bothSides"/>
                  <wp:docPr id="1679966975" name="Picture 1679966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631367" cy="2291482"/>
                          </a:xfrm>
                          <a:prstGeom prst="rect">
                            <a:avLst/>
                          </a:prstGeom>
                        </pic:spPr>
                      </pic:pic>
                    </a:graphicData>
                  </a:graphic>
                  <wp14:sizeRelH relativeFrom="page">
                    <wp14:pctWidth>0</wp14:pctWidth>
                  </wp14:sizeRelH>
                  <wp14:sizeRelV relativeFrom="page">
                    <wp14:pctHeight>0</wp14:pctHeight>
                  </wp14:sizeRelV>
                </wp:anchor>
              </w:drawing>
            </w:r>
            <w:r w:rsidR="06831449" w:rsidRPr="06831449">
              <w:rPr>
                <w:rFonts w:cs="Calibri"/>
                <w:lang w:val="en-US"/>
              </w:rPr>
              <w:t xml:space="preserve">European Space Agency (ESA) multi-spacecraft mission Cluster was launched 2000 with a goal to study Sun-Earth connection and it is still operating. NASA launched 2015 a successful follow-up multi-spacecraft mission Magnetospheric Multiscale (MMS) with a goal to study the magnetic reconnection process. Reconnection is a fundamental physics process in astrophysical plasmas and of key importance for space weather. Both missions are large cornerstone missions for both agencies and result of international </w:t>
            </w:r>
            <w:r w:rsidR="06831449" w:rsidRPr="06831449">
              <w:rPr>
                <w:rFonts w:cs="Calibri"/>
                <w:lang w:val="en-US"/>
              </w:rPr>
              <w:lastRenderedPageBreak/>
              <w:t>collaboration of tens of research groups. KTH has had an important contribution to the designing, building, operations and data analysis of both missions.  The KTH contributions have improved the understanding of key space plasma processes, such as auroral physics, magnetospheric jet formations, space plasma boundary physics and others, while securing our front-line position in experimental space physics. On the hardware side KTH has made a major contribution to the design, building, testing and operations of the electric field. Electric field is responsible for plasma particle acceleration and its high-quality measurements are of high importance for understanding of many fundamental plasma physics processes.</w:t>
            </w:r>
          </w:p>
          <w:p w14:paraId="21784979" w14:textId="77777777" w:rsidR="708C6F57" w:rsidRDefault="708C6F57" w:rsidP="708C6F57">
            <w:pPr>
              <w:spacing w:after="0"/>
              <w:rPr>
                <w:rFonts w:cs="Calibri"/>
                <w:lang w:val="en-US"/>
              </w:rPr>
            </w:pPr>
          </w:p>
          <w:p w14:paraId="58A7786C" w14:textId="77777777" w:rsidR="708C6F57" w:rsidRDefault="6A2D7309" w:rsidP="6A2D7309">
            <w:pPr>
              <w:spacing w:after="0"/>
              <w:rPr>
                <w:rFonts w:cs="Calibri"/>
                <w:b/>
                <w:bCs/>
                <w:lang w:val="en-US"/>
              </w:rPr>
            </w:pPr>
            <w:r w:rsidRPr="6A2D7309">
              <w:rPr>
                <w:rFonts w:cs="Calibri"/>
                <w:b/>
                <w:bCs/>
                <w:lang w:val="en-US"/>
              </w:rPr>
              <w:t>Impact on space instrument hardware and operation:</w:t>
            </w:r>
          </w:p>
          <w:p w14:paraId="409D051A" w14:textId="77777777" w:rsidR="708C6F57" w:rsidRDefault="708C6F57" w:rsidP="708C6F57">
            <w:pPr>
              <w:spacing w:after="0"/>
              <w:rPr>
                <w:rFonts w:cs="Calibri"/>
                <w:lang w:val="en-US"/>
              </w:rPr>
            </w:pPr>
            <w:r w:rsidRPr="708C6F57">
              <w:rPr>
                <w:rFonts w:cs="Calibri"/>
                <w:lang w:val="en-US"/>
              </w:rPr>
              <w:t>MMS. The large heritage and expertise of KTH in electric field instrumentation has allowed KTH to continue its major contribution to international space missions. NASA MMS has been for the division a major project for the past 10 years. Additionally, electric field instrumentation has also been developed for the Japanese/ESA mission BepiColombo which is on its way to Mercury, as well as free flying units on sounding rockets. For MMS our group has designed the spin-plane electric booms based on the new design developed for BepiColombo [Lindqvist et al., 2016]. We have developed and built electronics for electric field measurements on MMS. Much of the effort in the first years went to understanding and optimization of instrument operations and calibration. Now this has become important routine task and more efforts can be put into the scientific studies.</w:t>
            </w:r>
          </w:p>
          <w:p w14:paraId="4BC1FA0D" w14:textId="77777777" w:rsidR="708C6F57" w:rsidRDefault="708C6F57" w:rsidP="708C6F57">
            <w:pPr>
              <w:spacing w:after="0"/>
              <w:rPr>
                <w:rFonts w:cs="Calibri"/>
                <w:lang w:val="en-US"/>
              </w:rPr>
            </w:pPr>
          </w:p>
          <w:p w14:paraId="0C668924" w14:textId="77777777" w:rsidR="708C6F57" w:rsidRDefault="6A2D7309" w:rsidP="708C6F57">
            <w:pPr>
              <w:spacing w:after="0"/>
              <w:rPr>
                <w:rFonts w:cs="Calibri"/>
                <w:lang w:val="en-US"/>
              </w:rPr>
            </w:pPr>
            <w:r w:rsidRPr="6A2D7309">
              <w:rPr>
                <w:rFonts w:cs="Calibri"/>
                <w:b/>
                <w:bCs/>
                <w:lang w:val="en-US"/>
              </w:rPr>
              <w:t xml:space="preserve">Cluster. </w:t>
            </w:r>
            <w:r w:rsidRPr="6A2D7309">
              <w:rPr>
                <w:rFonts w:cs="Calibri"/>
                <w:lang w:val="en-US"/>
              </w:rPr>
              <w:t>Cluster has been in orbit for 20 years. During the past 10 years KTH has continued: 1) to act as Chairman of the Cluster Wave Experiment Consortium (comprising 5 of the 11 instrument teams), for coordination of instrument operations and science efforts, 2) to operate electric field instrument in collaboration with IRF-U, 3) to act as Project Scientist for and host of the Scandinavian Data Centre, with analysis and distribution of the EFW data to other Cluster data centers, 4) to contribute to the Cluster Active Archive, with 20 years of unprecedented data.</w:t>
            </w:r>
          </w:p>
          <w:p w14:paraId="46F7E58D" w14:textId="77777777" w:rsidR="708C6F57" w:rsidRDefault="708C6F57" w:rsidP="708C6F57">
            <w:pPr>
              <w:spacing w:after="0"/>
              <w:rPr>
                <w:rFonts w:cs="Calibri"/>
                <w:lang w:val="en-US"/>
              </w:rPr>
            </w:pPr>
          </w:p>
          <w:p w14:paraId="4D9783E7" w14:textId="77777777" w:rsidR="708C6F57" w:rsidRDefault="708C6F57" w:rsidP="708C6F57">
            <w:pPr>
              <w:spacing w:after="0"/>
              <w:rPr>
                <w:rFonts w:cs="Calibri"/>
                <w:lang w:val="en-US"/>
              </w:rPr>
            </w:pPr>
            <w:r w:rsidRPr="708C6F57">
              <w:rPr>
                <w:rFonts w:cs="Calibri"/>
                <w:lang w:val="en-US"/>
              </w:rPr>
              <w:t xml:space="preserve">Impact on research </w:t>
            </w:r>
          </w:p>
          <w:p w14:paraId="4510676C" w14:textId="77777777" w:rsidR="708C6F57" w:rsidRDefault="708C6F57" w:rsidP="708C6F57">
            <w:pPr>
              <w:spacing w:after="0"/>
              <w:rPr>
                <w:rFonts w:cs="Calibri"/>
                <w:lang w:val="en-US"/>
              </w:rPr>
            </w:pPr>
          </w:p>
          <w:p w14:paraId="66861296" w14:textId="77777777" w:rsidR="708C6F57" w:rsidRDefault="708C6F57" w:rsidP="708C6F57">
            <w:pPr>
              <w:spacing w:after="0"/>
              <w:rPr>
                <w:rFonts w:cs="Calibri"/>
                <w:lang w:val="en-US"/>
              </w:rPr>
            </w:pPr>
            <w:r w:rsidRPr="708C6F57">
              <w:rPr>
                <w:rFonts w:cs="Calibri"/>
                <w:lang w:val="en-US"/>
              </w:rPr>
              <w:t>MMS. MMS has been in orbit for more than 5 years. KTH has contributed to more than 130 published studies in refereed journals. The scientific focus of these studies has covered a wide range from magnetic reconnection to turbulence, shocks, boundary physics, wave-particle interaction and others. The scientific studies lead by KTH has focused on understanding the dayside processes such as magnetosheath jets, their properties and their formation. Currently there are 2 PhD students working with MMS data.</w:t>
            </w:r>
          </w:p>
          <w:p w14:paraId="5D5471ED" w14:textId="77777777" w:rsidR="708C6F57" w:rsidRDefault="708C6F57" w:rsidP="708C6F57">
            <w:pPr>
              <w:spacing w:after="0"/>
              <w:rPr>
                <w:rFonts w:cs="Calibri"/>
                <w:lang w:val="en-US"/>
              </w:rPr>
            </w:pPr>
          </w:p>
          <w:p w14:paraId="398837EE" w14:textId="77777777" w:rsidR="708C6F57" w:rsidRDefault="708C6F57" w:rsidP="708C6F57">
            <w:pPr>
              <w:spacing w:after="0"/>
              <w:rPr>
                <w:rFonts w:cs="Calibri"/>
                <w:lang w:val="en-US"/>
              </w:rPr>
            </w:pPr>
            <w:r w:rsidRPr="708C6F57">
              <w:rPr>
                <w:rFonts w:cs="Calibri"/>
                <w:lang w:val="en-US"/>
              </w:rPr>
              <w:t xml:space="preserve">Cluster. KTH has participated to tens of studies involving Cluster data. While after 2015 with a launch of MMS the number of ongoing Cluster studies has been reduced, there are still a lot of science questions that require Cluster data. KTH has continued to keep a leading role in Cluster auroral research, 2 PhD students finished their thesis on this topic. In addition, KTH has carried out studies of magnetosheath plasmoids and jets, </w:t>
            </w:r>
            <w:r w:rsidRPr="708C6F57">
              <w:rPr>
                <w:rFonts w:cs="Calibri"/>
                <w:lang w:val="en-US"/>
              </w:rPr>
              <w:lastRenderedPageBreak/>
              <w:t>flux transfer events and their properties as a function of solar wind parameters, as well as properties of the substorm activity in the tail.</w:t>
            </w:r>
          </w:p>
          <w:p w14:paraId="632910FD" w14:textId="77777777" w:rsidR="708C6F57" w:rsidRDefault="708C6F57" w:rsidP="708C6F57">
            <w:pPr>
              <w:spacing w:after="0"/>
              <w:rPr>
                <w:rFonts w:cs="Calibri"/>
                <w:lang w:val="en-US"/>
              </w:rPr>
            </w:pPr>
          </w:p>
          <w:p w14:paraId="0A677AB9" w14:textId="77777777" w:rsidR="708C6F57" w:rsidRDefault="708C6F57" w:rsidP="708C6F57">
            <w:pPr>
              <w:spacing w:after="0"/>
              <w:rPr>
                <w:rFonts w:cs="Calibri"/>
                <w:lang w:val="en-US"/>
              </w:rPr>
            </w:pPr>
            <w:r w:rsidRPr="708C6F57">
              <w:rPr>
                <w:rFonts w:cs="Calibri"/>
                <w:lang w:val="en-US"/>
              </w:rPr>
              <w:t xml:space="preserve">A few examples of studies lead by KTH or with important KTH contribution from both missions are given below. </w:t>
            </w:r>
          </w:p>
          <w:p w14:paraId="3FFBA905" w14:textId="77777777" w:rsidR="708C6F57" w:rsidRDefault="708C6F57" w:rsidP="708C6F57">
            <w:pPr>
              <w:spacing w:after="0"/>
              <w:rPr>
                <w:rFonts w:cs="Calibri"/>
                <w:lang w:val="en-US"/>
              </w:rPr>
            </w:pPr>
          </w:p>
          <w:p w14:paraId="726298CA" w14:textId="77777777" w:rsidR="708C6F57" w:rsidRDefault="708C6F57" w:rsidP="708C6F57">
            <w:pPr>
              <w:spacing w:after="0"/>
              <w:rPr>
                <w:rFonts w:cs="Calibri"/>
                <w:lang w:val="en-US"/>
              </w:rPr>
            </w:pPr>
            <w:r w:rsidRPr="708C6F57">
              <w:rPr>
                <w:rFonts w:cs="Calibri"/>
                <w:lang w:val="en-US"/>
              </w:rPr>
              <w:t xml:space="preserve">References: </w:t>
            </w:r>
          </w:p>
          <w:p w14:paraId="1D325B07" w14:textId="77777777" w:rsidR="708C6F57" w:rsidRDefault="708C6F57" w:rsidP="708C6F57">
            <w:pPr>
              <w:spacing w:after="0"/>
              <w:rPr>
                <w:rFonts w:cs="Calibri"/>
                <w:lang w:val="en-US"/>
              </w:rPr>
            </w:pPr>
          </w:p>
          <w:p w14:paraId="18608E24" w14:textId="77777777" w:rsidR="708C6F57" w:rsidRDefault="708C6F57" w:rsidP="708C6F57">
            <w:pPr>
              <w:spacing w:after="0"/>
              <w:rPr>
                <w:rFonts w:cs="Calibri"/>
                <w:lang w:val="en-US"/>
              </w:rPr>
            </w:pPr>
            <w:r w:rsidRPr="708C6F57">
              <w:rPr>
                <w:rFonts w:cs="Calibri"/>
                <w:lang w:val="en-US"/>
              </w:rPr>
              <w:t>Alm, L., G. T. Marklund, and T. Karlsson. “In Situ Observations of Density Cavities Extending above the Auroral Acceleration Region.” Journal of Geophysical Research: Space Physics 119, no. 7 (July 1, 2014): 5286–94. https://doi.org/10.1002/2014JA019799.</w:t>
            </w:r>
          </w:p>
          <w:p w14:paraId="0BB22DCF" w14:textId="77777777" w:rsidR="708C6F57" w:rsidRDefault="708C6F57" w:rsidP="708C6F57">
            <w:pPr>
              <w:spacing w:after="0"/>
              <w:rPr>
                <w:rFonts w:cs="Calibri"/>
                <w:lang w:val="en-US"/>
              </w:rPr>
            </w:pPr>
            <w:r w:rsidRPr="708C6F57">
              <w:rPr>
                <w:rFonts w:cs="Calibri"/>
                <w:lang w:val="sv-SE"/>
              </w:rPr>
              <w:t xml:space="preserve">Karlsson, T., A. Kullen, E. Liljeblad, N. Brenning, H. Nilsson, H. Gunell, and M. Hamrin. </w:t>
            </w:r>
            <w:r w:rsidRPr="708C6F57">
              <w:rPr>
                <w:rFonts w:cs="Calibri"/>
                <w:lang w:val="en-US"/>
              </w:rPr>
              <w:t>“On the Origin of Magnetosheath Plasmoids and Their Relation to Magnetosheath Jets.” Journal of Geophysical Research: Space Physics 120, no. 9 (2015): 7390–7403. https://doi.org/10.1002/2015JA021487.</w:t>
            </w:r>
          </w:p>
          <w:p w14:paraId="44F4E07D" w14:textId="77777777" w:rsidR="708C6F57" w:rsidRDefault="708C6F57" w:rsidP="708C6F57">
            <w:pPr>
              <w:spacing w:after="0"/>
              <w:rPr>
                <w:rFonts w:cs="Calibri"/>
                <w:lang w:val="en-US"/>
              </w:rPr>
            </w:pPr>
            <w:r w:rsidRPr="708C6F57">
              <w:rPr>
                <w:rFonts w:cs="Calibri"/>
                <w:lang w:val="sv-SE"/>
              </w:rPr>
              <w:t xml:space="preserve">Karlsson, Tomas, Maria Hamrin, Hans Nilsson, Anita Kullen, and Timo Pitkänen. </w:t>
            </w:r>
            <w:r w:rsidRPr="708C6F57">
              <w:rPr>
                <w:rFonts w:cs="Calibri"/>
                <w:lang w:val="en-US"/>
              </w:rPr>
              <w:t>“Magnetic Forces Associated with Bursty Bulk Flows in Earth’s Magnetotail.” Geophysical Research Letters 42, no. 9 (2015): 3122–28. https://doi.org/10.1002/2015GL063999.</w:t>
            </w:r>
          </w:p>
          <w:p w14:paraId="5A1EF652" w14:textId="77777777" w:rsidR="708C6F57" w:rsidRDefault="708C6F57" w:rsidP="708C6F57">
            <w:pPr>
              <w:spacing w:after="0"/>
              <w:rPr>
                <w:rFonts w:cs="Calibri"/>
                <w:lang w:val="en-US"/>
              </w:rPr>
            </w:pPr>
            <w:r w:rsidRPr="708C6F57">
              <w:rPr>
                <w:rFonts w:cs="Calibri"/>
                <w:lang w:val="en-US"/>
              </w:rPr>
              <w:t>Karlsson, Tomas, Ferdinand Plaschke, Heli Hietala, Martin Archer, Xóchitl Blanco-Cano, Primož Kajdič, Per-Arne Lindqvist, Göran Marklund, and Daniel J. Gershman. “Investigating the Anatomy of Magnetosheath Jets – MMS Observations.” Annales Geophysicae 36, no. 2 (April 23, 2018): 655–77. https://doi.org/10.5194/angeo-36-655-2018.</w:t>
            </w:r>
          </w:p>
          <w:p w14:paraId="34B0827B" w14:textId="77777777" w:rsidR="708C6F57" w:rsidRDefault="708C6F57" w:rsidP="708C6F57">
            <w:pPr>
              <w:spacing w:after="0"/>
              <w:rPr>
                <w:rFonts w:cs="Calibri"/>
                <w:lang w:val="en-US"/>
              </w:rPr>
            </w:pPr>
            <w:r w:rsidRPr="708C6F57">
              <w:rPr>
                <w:rFonts w:cs="Calibri"/>
                <w:lang w:val="en-US"/>
              </w:rPr>
              <w:t>Kullen, A., S. Thor, and T. Karlsson. “The Difference Between Isolated Flux Transfer Events and Flux Transfer Event Cascades.” Journal of Geophysical Research: Space Physics 124, no. 10 (2019): 7850–71. https://doi.org/10.1029/2019JA026629.</w:t>
            </w:r>
          </w:p>
          <w:p w14:paraId="7ECEF312" w14:textId="77777777" w:rsidR="708C6F57" w:rsidRDefault="708C6F57" w:rsidP="708C6F57">
            <w:pPr>
              <w:spacing w:after="0"/>
              <w:rPr>
                <w:rFonts w:cs="Calibri"/>
                <w:lang w:val="en-US"/>
              </w:rPr>
            </w:pPr>
            <w:r w:rsidRPr="708C6F57">
              <w:rPr>
                <w:rFonts w:cs="Calibri"/>
                <w:lang w:val="sv-SE"/>
              </w:rPr>
              <w:t xml:space="preserve">Li, B., G. Marklund, L. Alm, T. Karlsson, P.-A. Lindqvist, and A. Masson. </w:t>
            </w:r>
            <w:r w:rsidRPr="708C6F57">
              <w:rPr>
                <w:rFonts w:cs="Calibri"/>
                <w:lang w:val="en-US"/>
              </w:rPr>
              <w:t>“Statistical Altitude Distribution of Cluster Auroral Electric Fields, Indicating Mainly Quasi-Static Acceleration below 2.8 RE and Alfvénic Above.” Journal of Geophysical Research: Space Physics 119, no. 11 (November 1, 2014): 8984–91. https://doi.org/10.1002/2014JA020225.</w:t>
            </w:r>
          </w:p>
          <w:p w14:paraId="5EB6A38A" w14:textId="1B322FBB" w:rsidR="708C6F57" w:rsidRDefault="2BF8EF82" w:rsidP="708C6F57">
            <w:pPr>
              <w:spacing w:after="0"/>
              <w:rPr>
                <w:rFonts w:cs="Calibri"/>
                <w:lang w:val="en-US"/>
              </w:rPr>
            </w:pPr>
            <w:r w:rsidRPr="2BF8EF82">
              <w:rPr>
                <w:rFonts w:cs="Calibri"/>
                <w:lang w:val="sv-SE"/>
              </w:rPr>
              <w:t xml:space="preserve">Lindqvist, P.-A., G. Olsson, R. B. Torbert, B. King, M. Granoff, D. Rau, G. Needell, et al. </w:t>
            </w:r>
            <w:r w:rsidRPr="2BF8EF82">
              <w:rPr>
                <w:rFonts w:cs="Calibri"/>
                <w:lang w:val="en-US"/>
              </w:rPr>
              <w:t xml:space="preserve">“The Spin-Plane Double Probe Electric Field Instrument for MMS.” Space Science Reviews 199, no. 1 (March 1, 2016): 137–65. </w:t>
            </w:r>
            <w:hyperlink r:id="rId49">
              <w:r w:rsidRPr="2BF8EF82">
                <w:rPr>
                  <w:rStyle w:val="Hyperlink"/>
                  <w:rFonts w:cs="Calibri"/>
                  <w:lang w:val="en-US"/>
                </w:rPr>
                <w:t>https://doi.org/10.1007/s11214-014-0116-9</w:t>
              </w:r>
            </w:hyperlink>
            <w:r w:rsidRPr="2BF8EF82">
              <w:rPr>
                <w:rFonts w:cs="Calibri"/>
                <w:lang w:val="en-US"/>
              </w:rPr>
              <w:t>.</w:t>
            </w:r>
          </w:p>
          <w:p w14:paraId="17EE1FC0" w14:textId="14D1C793" w:rsidR="2BF8EF82" w:rsidRDefault="2BF8EF82" w:rsidP="2BF8EF82">
            <w:pPr>
              <w:spacing w:after="0"/>
              <w:rPr>
                <w:rFonts w:cs="Calibri"/>
                <w:lang w:val="en-US"/>
              </w:rPr>
            </w:pPr>
          </w:p>
          <w:p w14:paraId="4427AE40" w14:textId="47AF99E3" w:rsidR="2BF8EF82" w:rsidRDefault="2BF8EF82" w:rsidP="2BF8EF82">
            <w:pPr>
              <w:spacing w:after="0"/>
              <w:rPr>
                <w:rFonts w:cs="Calibri"/>
                <w:b/>
                <w:bCs/>
                <w:lang w:val="en-US"/>
              </w:rPr>
            </w:pPr>
          </w:p>
          <w:p w14:paraId="43D03637" w14:textId="08B2721A" w:rsidR="2BF8EF82" w:rsidRPr="00D3501C" w:rsidRDefault="492E8A79" w:rsidP="003A09D8">
            <w:pPr>
              <w:pStyle w:val="ListParagraph"/>
              <w:numPr>
                <w:ilvl w:val="0"/>
                <w:numId w:val="1"/>
              </w:numPr>
              <w:jc w:val="center"/>
              <w:rPr>
                <w:b/>
                <w:bCs/>
                <w:sz w:val="28"/>
                <w:szCs w:val="28"/>
                <w:lang w:val="en-US"/>
              </w:rPr>
            </w:pPr>
            <w:r w:rsidRPr="492E8A79">
              <w:rPr>
                <w:rFonts w:ascii="Calibri" w:eastAsia="Calibri" w:hAnsi="Calibri" w:cs="Calibri"/>
                <w:b/>
                <w:bCs/>
                <w:sz w:val="28"/>
                <w:szCs w:val="28"/>
                <w:lang w:val="en-US"/>
              </w:rPr>
              <w:t xml:space="preserve">Electrical Impedance Spectroscopy ASIC for Skin Cancer Detection </w:t>
            </w:r>
          </w:p>
          <w:p w14:paraId="4B339186" w14:textId="1BBA64AE" w:rsidR="2BF8EF82" w:rsidRDefault="2BF8EF82" w:rsidP="2BF8EF82">
            <w:pPr>
              <w:jc w:val="center"/>
            </w:pPr>
            <w:r w:rsidRPr="2BF8EF82">
              <w:rPr>
                <w:rFonts w:eastAsia="Calibri" w:cs="Calibri"/>
                <w:szCs w:val="24"/>
                <w:lang w:val="en-US"/>
              </w:rPr>
              <w:t>Assoc. Prof. Saul Rodriguez, Dr. Raul Onet, Prof. Ana Rusu</w:t>
            </w:r>
          </w:p>
          <w:p w14:paraId="1C44C353" w14:textId="29EEE46D" w:rsidR="2BF8EF82" w:rsidRDefault="2BF8EF82" w:rsidP="2BF8EF82">
            <w:pPr>
              <w:jc w:val="center"/>
            </w:pPr>
            <w:r>
              <w:rPr>
                <w:noProof/>
                <w:lang w:val="sv-SE" w:eastAsia="sv-SE"/>
              </w:rPr>
              <w:lastRenderedPageBreak/>
              <w:drawing>
                <wp:inline distT="0" distB="0" distL="0" distR="0" wp14:anchorId="287313F8" wp14:editId="383E5849">
                  <wp:extent cx="3819525" cy="2610009"/>
                  <wp:effectExtent l="0" t="0" r="0" b="0"/>
                  <wp:docPr id="227531088" name="Picture 22753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extLst>
                              <a:ext uri="{28A0092B-C50C-407E-A947-70E740481C1C}">
                                <a14:useLocalDpi xmlns:a14="http://schemas.microsoft.com/office/drawing/2010/main" val="0"/>
                              </a:ext>
                            </a:extLst>
                          </a:blip>
                          <a:stretch>
                            <a:fillRect/>
                          </a:stretch>
                        </pic:blipFill>
                        <pic:spPr>
                          <a:xfrm>
                            <a:off x="0" y="0"/>
                            <a:ext cx="3822833" cy="2612269"/>
                          </a:xfrm>
                          <a:prstGeom prst="rect">
                            <a:avLst/>
                          </a:prstGeom>
                        </pic:spPr>
                      </pic:pic>
                    </a:graphicData>
                  </a:graphic>
                </wp:inline>
              </w:drawing>
            </w:r>
          </w:p>
          <w:p w14:paraId="0F631E05" w14:textId="03380E1D" w:rsidR="2BF8EF82" w:rsidRDefault="492E8A79" w:rsidP="2BF8EF82">
            <w:pPr>
              <w:jc w:val="center"/>
            </w:pPr>
            <w:r w:rsidRPr="492E8A79">
              <w:rPr>
                <w:rFonts w:eastAsia="Calibri" w:cs="Calibri"/>
                <w:szCs w:val="24"/>
                <w:lang w:val="en-US"/>
              </w:rPr>
              <w:t>Figure I1 Skin cancer detection device and KTH ASIC</w:t>
            </w:r>
          </w:p>
          <w:p w14:paraId="3D29BDA5" w14:textId="2B88CFA6" w:rsidR="2BF8EF82" w:rsidRDefault="2BF8EF82" w:rsidP="2BF8EF82">
            <w:pPr>
              <w:jc w:val="center"/>
            </w:pPr>
            <w:r w:rsidRPr="2BF8EF82">
              <w:rPr>
                <w:rFonts w:eastAsia="Calibri" w:cs="Calibri"/>
                <w:szCs w:val="24"/>
                <w:lang w:val="en-US"/>
              </w:rPr>
              <w:t xml:space="preserve"> </w:t>
            </w:r>
          </w:p>
          <w:p w14:paraId="2E3F640D" w14:textId="1C74384C" w:rsidR="2BF8EF82" w:rsidRDefault="2BF8EF82" w:rsidP="2BF8EF82">
            <w:pPr>
              <w:jc w:val="center"/>
            </w:pPr>
            <w:r>
              <w:rPr>
                <w:noProof/>
                <w:lang w:val="sv-SE" w:eastAsia="sv-SE"/>
              </w:rPr>
              <w:drawing>
                <wp:inline distT="0" distB="0" distL="0" distR="0" wp14:anchorId="642AA68B" wp14:editId="63668A59">
                  <wp:extent cx="3162300" cy="1058744"/>
                  <wp:effectExtent l="0" t="0" r="0" b="8255"/>
                  <wp:docPr id="1213701584" name="Picture 121370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extLst>
                              <a:ext uri="{28A0092B-C50C-407E-A947-70E740481C1C}">
                                <a14:useLocalDpi xmlns:a14="http://schemas.microsoft.com/office/drawing/2010/main" val="0"/>
                              </a:ext>
                            </a:extLst>
                          </a:blip>
                          <a:stretch>
                            <a:fillRect/>
                          </a:stretch>
                        </pic:blipFill>
                        <pic:spPr>
                          <a:xfrm>
                            <a:off x="0" y="0"/>
                            <a:ext cx="3180087" cy="1064699"/>
                          </a:xfrm>
                          <a:prstGeom prst="rect">
                            <a:avLst/>
                          </a:prstGeom>
                        </pic:spPr>
                      </pic:pic>
                    </a:graphicData>
                  </a:graphic>
                </wp:inline>
              </w:drawing>
            </w:r>
          </w:p>
          <w:p w14:paraId="7863B555" w14:textId="6F545BF0" w:rsidR="2BF8EF82" w:rsidRDefault="492E8A79" w:rsidP="2BF8EF82">
            <w:pPr>
              <w:jc w:val="center"/>
            </w:pPr>
            <w:r w:rsidRPr="492E8A79">
              <w:rPr>
                <w:rFonts w:eastAsia="Calibri" w:cs="Calibri"/>
                <w:szCs w:val="24"/>
                <w:lang w:val="en-US"/>
              </w:rPr>
              <w:t>Figure I2 Main Sustainable Developments Goals (SDGs) where this project has an impact</w:t>
            </w:r>
          </w:p>
          <w:p w14:paraId="2AA9A69C" w14:textId="0705810E" w:rsidR="2BF8EF82" w:rsidRDefault="2BF8EF82" w:rsidP="2BF8EF82">
            <w:pPr>
              <w:jc w:val="center"/>
            </w:pPr>
            <w:r w:rsidRPr="2BF8EF82">
              <w:rPr>
                <w:rFonts w:eastAsia="Calibri" w:cs="Calibri"/>
                <w:szCs w:val="24"/>
                <w:lang w:val="en-US"/>
              </w:rPr>
              <w:t xml:space="preserve"> </w:t>
            </w:r>
          </w:p>
          <w:p w14:paraId="73EC0537" w14:textId="77B909D2" w:rsidR="2BF8EF82" w:rsidRDefault="2BF8EF82" w:rsidP="2BF8EF82">
            <w:pPr>
              <w:jc w:val="both"/>
            </w:pPr>
            <w:r w:rsidRPr="2BF8EF82">
              <w:rPr>
                <w:rFonts w:eastAsia="Calibri" w:cs="Calibri"/>
                <w:szCs w:val="24"/>
                <w:lang w:val="en-US"/>
              </w:rPr>
              <w:t xml:space="preserve">Melanoma is one of the fastest growing cancers globally and in many countries such as Sweden it is the fastest growing cancer. The lifetime risk of contracting melanoma in the US is 1 in 24 and this risk is predicted to worsen for some years. Early detection is critical and survival rates fall quickly to 50% or below if a melanoma is not early detected and treated. Existing melanoma detection methods are visual and subjective with poor accuracy, so new techniques are needed. </w:t>
            </w:r>
          </w:p>
          <w:p w14:paraId="10A0FDD0" w14:textId="4AB3705C" w:rsidR="2BF8EF82" w:rsidRDefault="2BF8EF82" w:rsidP="2BF8EF82">
            <w:pPr>
              <w:jc w:val="both"/>
            </w:pPr>
            <w:r w:rsidRPr="2BF8EF82">
              <w:rPr>
                <w:rFonts w:eastAsia="Calibri" w:cs="Calibri"/>
                <w:szCs w:val="24"/>
                <w:lang w:val="en-US"/>
              </w:rPr>
              <w:t xml:space="preserve">SciBase AB is a Swedish company with vast experience in medical product development, which has developed revolutionary technology for detecting skin cancer by using a non-invasive method based on Electric Impedance Spectroscopy (EIS). This technology was developed and patented at Karolinska Institute, Stockholm, and it is currently being marketed worldwide with the SciBase flagship's product “Nevisense”. The Nevisense instrument consists of a processing unit which contains a display with the user interface, electronic circuits, and a probe for performing measurements directly on the skin. The electronic circuitry of Nevisense is implemented using off-the-shelf commercial components, and therefore, it occupies considerable space (approximately 35 cm x 28 cm x 14 cm) and has a weight of 4 kg. In addition, the power consumption of these circuits </w:t>
            </w:r>
            <w:r w:rsidRPr="2BF8EF82">
              <w:rPr>
                <w:rFonts w:eastAsia="Calibri" w:cs="Calibri"/>
                <w:szCs w:val="24"/>
                <w:lang w:val="en-US"/>
              </w:rPr>
              <w:lastRenderedPageBreak/>
              <w:t>(around 30 Watts) requires the Nevisense to be connected and powered from the mains or a Li-ion battery pack that lasts for approximately 4h during regular operation.</w:t>
            </w:r>
          </w:p>
          <w:p w14:paraId="2748C228" w14:textId="4DFAB894" w:rsidR="2BF8EF82" w:rsidRDefault="492E8A79" w:rsidP="2BF8EF82">
            <w:pPr>
              <w:jc w:val="both"/>
            </w:pPr>
            <w:r w:rsidRPr="492E8A79">
              <w:rPr>
                <w:rFonts w:eastAsia="Calibri" w:cs="Calibri"/>
                <w:szCs w:val="24"/>
                <w:lang w:val="en-US"/>
              </w:rPr>
              <w:t>The idea behind this collaborative project between the Integrated Circuits and Systems group, Division of Electronics and Embedded Systems, KTH and SciBase AB was to take advantage of the latest advances in microelectronics, and integrate in a single System-on-Chip (SoC) solution a large part of the Nevisense’s electronics. We concentrated our efforts on fully integrating the EIS circuits since they accounted for the largest part of the electronics. By the end of the project, we succeeded to integrate most of the Nevisense instrument’s electronics into a CMOS ASIC of around 2 mm x 3 mm. This aggressive integration was achieved by using innovative solutions and modern CMOS technology and has generated a ‘disruptive’ technology for skin cancer detection/diagnose. In particular, the developed technology has a strong impact on SDG 3 “Good Health and Well-Being” and SDG 9 “Industry, Innovation, and Infrastructure”. The size and weight were dramatically reduced to just a few mm</w:t>
            </w:r>
            <w:r w:rsidRPr="492E8A79">
              <w:rPr>
                <w:rFonts w:eastAsia="Calibri" w:cs="Calibri"/>
                <w:szCs w:val="24"/>
                <w:vertAlign w:val="superscript"/>
                <w:lang w:val="en-US"/>
              </w:rPr>
              <w:t xml:space="preserve">2 </w:t>
            </w:r>
            <w:r w:rsidRPr="492E8A79">
              <w:rPr>
                <w:rFonts w:eastAsia="Calibri" w:cs="Calibri"/>
                <w:szCs w:val="24"/>
                <w:lang w:val="en-US"/>
              </w:rPr>
              <w:t>and the power consumption to just a few mW, enabling the development of a battery-powered, pen-like modular device for skin cancer detection, as shown in Fig. I1. This portable device can communicate wirelessly with a computer, tablet, or mobile phone running a graphic user interface (GUI). Such portable device is much more simple, flexible, and user-friendly compared to the current Nevisense instrument. Furthermore, replacing most of the off-the-shelf components with a single CMOS ASIC made the skin cancer diagnose method so inexpensive that the whole system can potentially become disposable. This is very important because it opens this skin cancer detection technology to patients that otherwise could not have afforded the costs (SDG 10 Reduced Inequalities). The technology has been fully transferred to Scibase AB and it is currently in industrialization phase (Fig. I3).</w:t>
            </w:r>
          </w:p>
          <w:p w14:paraId="7B16720F" w14:textId="0308C78C" w:rsidR="2BF8EF82" w:rsidRDefault="2BF8EF82" w:rsidP="2BF8EF82">
            <w:pPr>
              <w:jc w:val="both"/>
            </w:pPr>
            <w:r w:rsidRPr="2BF8EF82">
              <w:rPr>
                <w:rFonts w:eastAsia="Calibri" w:cs="Calibri"/>
                <w:szCs w:val="24"/>
                <w:lang w:val="en-US"/>
              </w:rPr>
              <w:t xml:space="preserve"> </w:t>
            </w:r>
          </w:p>
          <w:p w14:paraId="4621DFD4" w14:textId="36A0A60E" w:rsidR="2BF8EF82" w:rsidRDefault="2BF8EF82" w:rsidP="2BF8EF82">
            <w:pPr>
              <w:jc w:val="center"/>
            </w:pPr>
            <w:r>
              <w:rPr>
                <w:noProof/>
                <w:lang w:val="sv-SE" w:eastAsia="sv-SE"/>
              </w:rPr>
              <w:drawing>
                <wp:inline distT="0" distB="0" distL="0" distR="0" wp14:anchorId="35F0DCD2" wp14:editId="43EF2E30">
                  <wp:extent cx="4572000" cy="1228725"/>
                  <wp:effectExtent l="0" t="0" r="0" b="0"/>
                  <wp:docPr id="826802262" name="Picture 826802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extLst>
                              <a:ext uri="{28A0092B-C50C-407E-A947-70E740481C1C}">
                                <a14:useLocalDpi xmlns:a14="http://schemas.microsoft.com/office/drawing/2010/main" val="0"/>
                              </a:ext>
                            </a:extLst>
                          </a:blip>
                          <a:stretch>
                            <a:fillRect/>
                          </a:stretch>
                        </pic:blipFill>
                        <pic:spPr>
                          <a:xfrm>
                            <a:off x="0" y="0"/>
                            <a:ext cx="4572000" cy="1228725"/>
                          </a:xfrm>
                          <a:prstGeom prst="rect">
                            <a:avLst/>
                          </a:prstGeom>
                        </pic:spPr>
                      </pic:pic>
                    </a:graphicData>
                  </a:graphic>
                </wp:inline>
              </w:drawing>
            </w:r>
          </w:p>
          <w:p w14:paraId="63AAAE1B" w14:textId="5FC2514E" w:rsidR="2BF8EF82" w:rsidRDefault="492E8A79" w:rsidP="2BF8EF82">
            <w:pPr>
              <w:jc w:val="center"/>
            </w:pPr>
            <w:r w:rsidRPr="492E8A79">
              <w:rPr>
                <w:rFonts w:eastAsia="Calibri" w:cs="Calibri"/>
                <w:szCs w:val="24"/>
                <w:lang w:val="en-US"/>
              </w:rPr>
              <w:t>Figure I3 Product’s prototype picture (reproduced with permission of SciBase AB)</w:t>
            </w:r>
          </w:p>
          <w:p w14:paraId="59B112AF" w14:textId="703F66D9" w:rsidR="2BF8EF82" w:rsidRDefault="2BF8EF82" w:rsidP="2BF8EF82">
            <w:pPr>
              <w:jc w:val="center"/>
            </w:pPr>
            <w:r w:rsidRPr="2BF8EF82">
              <w:rPr>
                <w:rFonts w:eastAsia="Calibri" w:cs="Calibri"/>
                <w:szCs w:val="24"/>
                <w:lang w:val="en-US"/>
              </w:rPr>
              <w:t xml:space="preserve"> </w:t>
            </w:r>
          </w:p>
          <w:p w14:paraId="5A202CDE" w14:textId="6F4FD608" w:rsidR="2BF8EF82" w:rsidRDefault="492E8A79" w:rsidP="2BF8EF82">
            <w:pPr>
              <w:jc w:val="both"/>
            </w:pPr>
            <w:r w:rsidRPr="492E8A79">
              <w:rPr>
                <w:rFonts w:eastAsia="Calibri" w:cs="Calibri"/>
                <w:szCs w:val="24"/>
                <w:lang w:val="en-US"/>
              </w:rPr>
              <w:t xml:space="preserve">The Integrated Circuits and Systems group has been working in biomedical electronics since 2011 in strong collaboration with Karolinska Institute (KI), Karolinksa Universitetssjukhuset, Sveriges Lantbruksuniversitet (SLU) and medtech industry. The group has made breakthrough research in bio-implantable EIS technology [1], ⁠[2], [3], which is recognized by members of the scientific community,  referring to our work as “disruptive technology which opens new clinical paradigms” [4].⁠ While the group has always being striving to publish excellent scientific results in the biomedical field, the main driving force has been from the very beginning to move the resulting intellectual property (IPR) to the medtech industry and then to the health care system where the </w:t>
            </w:r>
            <w:r w:rsidRPr="492E8A79">
              <w:rPr>
                <w:rFonts w:eastAsia="Calibri" w:cs="Calibri"/>
                <w:szCs w:val="24"/>
                <w:lang w:val="en-US"/>
              </w:rPr>
              <w:lastRenderedPageBreak/>
              <w:t>real society impact is created (Fig.I2). A natural precondition for this is to protect the IPR since no medtech company would be interested in manufacturing and commercializing a product that can be freely copied by a competitor. Accordingly, we have protected the IPR of our EIS technology with patents in many countries, covering the most important markets around the world [5], ⁠[6]⁠.  With such solid background in EIS technology, we started our collaboration with SciBase AB [7]⁠ and the Vinnova Project “Electrical Impedance Spectroscopy ASIC for Skin Cancer Detection” under the Smartare Elektroniksystem program 2015-2017. This is a very good example of the synergy that can be created by merging two actors with complementary competences: a leading company with breakthrough medical instrumentation technology and a leading research group in microelectronics. It is thanks to this synergy that the project was a complete success and has produced results that are clinically important for society, namely by making accurate and early melanoma detection tools accessible and affordable.</w:t>
            </w:r>
          </w:p>
          <w:p w14:paraId="1E04CBE5" w14:textId="5CFA6F6E" w:rsidR="2BF8EF82" w:rsidRDefault="2BF8EF82" w:rsidP="2BF8EF82">
            <w:pPr>
              <w:jc w:val="both"/>
            </w:pPr>
            <w:r w:rsidRPr="2BF8EF82">
              <w:rPr>
                <w:rFonts w:eastAsia="Calibri" w:cs="Calibri"/>
                <w:szCs w:val="24"/>
                <w:lang w:val="en-US"/>
              </w:rPr>
              <w:t xml:space="preserve"> </w:t>
            </w:r>
            <w:r w:rsidRPr="2BF8EF82">
              <w:rPr>
                <w:rFonts w:eastAsia="Calibri" w:cs="Calibri"/>
                <w:b/>
                <w:bCs/>
                <w:szCs w:val="24"/>
                <w:lang w:val="en-US"/>
              </w:rPr>
              <w:t>References</w:t>
            </w:r>
          </w:p>
          <w:p w14:paraId="7E73429F" w14:textId="45696742" w:rsidR="2BF8EF82" w:rsidRDefault="2BF8EF82" w:rsidP="003A09D8">
            <w:pPr>
              <w:pStyle w:val="ListParagraph"/>
              <w:numPr>
                <w:ilvl w:val="0"/>
                <w:numId w:val="15"/>
              </w:numPr>
              <w:tabs>
                <w:tab w:val="left" w:pos="484"/>
              </w:tabs>
              <w:jc w:val="both"/>
            </w:pPr>
            <w:r w:rsidRPr="00EA224A">
              <w:rPr>
                <w:rFonts w:eastAsia="Calibri" w:cs="Calibri"/>
                <w:lang w:val="en-US"/>
              </w:rPr>
              <w:t xml:space="preserve">S. Rodriguez, S. Ollmar, M. Waqar, and A. Rusu, “A Batteryless Sensor ASIC for Implantable Bio-impedance Applications,” </w:t>
            </w:r>
            <w:r w:rsidRPr="00EA224A">
              <w:rPr>
                <w:rFonts w:eastAsia="Calibri" w:cs="Calibri"/>
                <w:i/>
                <w:iCs/>
                <w:lang w:val="en-US"/>
              </w:rPr>
              <w:t>IEEE Trans. Biomed. Circuits Syst.</w:t>
            </w:r>
            <w:r w:rsidRPr="00EA224A">
              <w:rPr>
                <w:rFonts w:eastAsia="Calibri" w:cs="Calibri"/>
                <w:lang w:val="en-US"/>
              </w:rPr>
              <w:t>, vol. 10, no. 3, pp. 533–544, 2016.</w:t>
            </w:r>
          </w:p>
          <w:p w14:paraId="517F035C" w14:textId="7FA527D5" w:rsidR="2BF8EF82" w:rsidRDefault="2BF8EF82" w:rsidP="003A09D8">
            <w:pPr>
              <w:pStyle w:val="ListParagraph"/>
              <w:numPr>
                <w:ilvl w:val="0"/>
                <w:numId w:val="15"/>
              </w:numPr>
              <w:tabs>
                <w:tab w:val="left" w:pos="484"/>
              </w:tabs>
              <w:spacing w:line="288" w:lineRule="auto"/>
            </w:pPr>
            <w:r w:rsidRPr="00EA224A">
              <w:rPr>
                <w:rFonts w:eastAsia="Calibri" w:cs="Calibri"/>
                <w:lang w:val="en-US"/>
              </w:rPr>
              <w:t xml:space="preserve">N. Ivanisevic, S. Rodriguez, and A. Rusu, “Impedance Spectroscopy Based on Linear System Identification,” </w:t>
            </w:r>
            <w:r w:rsidRPr="00EA224A">
              <w:rPr>
                <w:rFonts w:eastAsia="Calibri" w:cs="Calibri"/>
                <w:i/>
                <w:iCs/>
                <w:lang w:val="en-US"/>
              </w:rPr>
              <w:t>IEEE Trans. Biomed. Circuits Syst.</w:t>
            </w:r>
            <w:r w:rsidRPr="00EA224A">
              <w:rPr>
                <w:rFonts w:eastAsia="Calibri" w:cs="Calibri"/>
                <w:lang w:val="en-US"/>
              </w:rPr>
              <w:t>, vol. 13, no. 2, pp. 396–402, 2019.</w:t>
            </w:r>
          </w:p>
          <w:p w14:paraId="6476FCA0" w14:textId="44A7A3B7" w:rsidR="2BF8EF82" w:rsidRDefault="2BF8EF82" w:rsidP="003A09D8">
            <w:pPr>
              <w:pStyle w:val="ListParagraph"/>
              <w:numPr>
                <w:ilvl w:val="0"/>
                <w:numId w:val="15"/>
              </w:numPr>
              <w:tabs>
                <w:tab w:val="left" w:pos="484"/>
              </w:tabs>
              <w:spacing w:line="288" w:lineRule="auto"/>
            </w:pPr>
            <w:r w:rsidRPr="00EA224A">
              <w:rPr>
                <w:rFonts w:eastAsia="Calibri" w:cs="Calibri"/>
                <w:lang w:val="en-US"/>
              </w:rPr>
              <w:t xml:space="preserve">R. Onet, A. Rusu, and S. Rodriguez, “High-Purity and Wide-Range Signal Generator for Bioimpedance Spectroscopy,” </w:t>
            </w:r>
            <w:r w:rsidRPr="00EA224A">
              <w:rPr>
                <w:rFonts w:eastAsia="Calibri" w:cs="Calibri"/>
                <w:i/>
                <w:iCs/>
                <w:lang w:val="en-US"/>
              </w:rPr>
              <w:t>IEEE Trans. Circuits Syst. II Express Briefs</w:t>
            </w:r>
            <w:r w:rsidRPr="00EA224A">
              <w:rPr>
                <w:rFonts w:eastAsia="Calibri" w:cs="Calibri"/>
                <w:lang w:val="en-US"/>
              </w:rPr>
              <w:t>, 2018.</w:t>
            </w:r>
          </w:p>
          <w:p w14:paraId="6CF1E601" w14:textId="3F92428C" w:rsidR="2BF8EF82" w:rsidRPr="00EA224A" w:rsidRDefault="2BF8EF82" w:rsidP="003A09D8">
            <w:pPr>
              <w:pStyle w:val="ListParagraph"/>
              <w:numPr>
                <w:ilvl w:val="0"/>
                <w:numId w:val="15"/>
              </w:numPr>
              <w:tabs>
                <w:tab w:val="left" w:pos="484"/>
              </w:tabs>
              <w:spacing w:line="288" w:lineRule="auto"/>
              <w:rPr>
                <w:lang w:val="en-US"/>
              </w:rPr>
            </w:pPr>
            <w:r w:rsidRPr="00EA224A">
              <w:rPr>
                <w:rFonts w:eastAsia="Calibri" w:cs="Calibri"/>
                <w:lang w:val="en-US"/>
              </w:rPr>
              <w:t xml:space="preserve">B. Sanchez and S. B. Rutkove, “Electrical Impedance Myography and Its Applications in Neuromuscular Disorders,” </w:t>
            </w:r>
            <w:r w:rsidRPr="00EA224A">
              <w:rPr>
                <w:rFonts w:eastAsia="Calibri" w:cs="Calibri"/>
                <w:i/>
                <w:iCs/>
                <w:lang w:val="en-US"/>
              </w:rPr>
              <w:t>Neurotherapeutics</w:t>
            </w:r>
            <w:r w:rsidRPr="00EA224A">
              <w:rPr>
                <w:rFonts w:eastAsia="Calibri" w:cs="Calibri"/>
                <w:lang w:val="en-US"/>
              </w:rPr>
              <w:t>, vol. 14, no. 1, pp. 107–118, 2017.</w:t>
            </w:r>
          </w:p>
          <w:p w14:paraId="0CA048D0" w14:textId="62FE1C5A" w:rsidR="2BF8EF82" w:rsidRPr="00EA224A" w:rsidRDefault="2BF8EF82" w:rsidP="003A09D8">
            <w:pPr>
              <w:pStyle w:val="ListParagraph"/>
              <w:numPr>
                <w:ilvl w:val="0"/>
                <w:numId w:val="15"/>
              </w:numPr>
              <w:tabs>
                <w:tab w:val="left" w:pos="484"/>
              </w:tabs>
              <w:spacing w:line="288" w:lineRule="auto"/>
              <w:rPr>
                <w:lang w:val="en-US"/>
              </w:rPr>
            </w:pPr>
            <w:r w:rsidRPr="00EA224A">
              <w:rPr>
                <w:rFonts w:eastAsia="Calibri" w:cs="Calibri"/>
                <w:lang w:val="en-US"/>
              </w:rPr>
              <w:t>A. Rusu, S. Rodriguez, and S. Ollmar, “Implantable Sensor and Method for Such Sensor,” AU2015206084B2, CN106028926A, CA2936458A1, MX2016008954A, KR20160108531A, EP3094246A1, JP6549154B2, WO2015107040A1, 2015.</w:t>
            </w:r>
          </w:p>
          <w:p w14:paraId="1E2B28F6" w14:textId="5FB96645" w:rsidR="2BF8EF82" w:rsidRPr="00EA224A" w:rsidRDefault="2BF8EF82" w:rsidP="003A09D8">
            <w:pPr>
              <w:pStyle w:val="ListParagraph"/>
              <w:numPr>
                <w:ilvl w:val="0"/>
                <w:numId w:val="15"/>
              </w:numPr>
              <w:tabs>
                <w:tab w:val="left" w:pos="484"/>
              </w:tabs>
              <w:spacing w:line="288" w:lineRule="auto"/>
              <w:rPr>
                <w:lang w:val="en-US"/>
              </w:rPr>
            </w:pPr>
            <w:r w:rsidRPr="00EA224A">
              <w:rPr>
                <w:rFonts w:eastAsia="Calibri" w:cs="Calibri"/>
                <w:lang w:val="en-US"/>
              </w:rPr>
              <w:t>A. Rusu, S. Rodriguez, and S. Ollmar, “Health Monitoring System,” US10357180B2, CA2936487A1, AU2015206086B2, MX2016008956A, JP6486964B2, CN106061378A, KR20160110477A, EP3094245A1, WO2015107042A1, 2015.</w:t>
            </w:r>
          </w:p>
          <w:p w14:paraId="52930FD8" w14:textId="32825820" w:rsidR="2BF8EF82" w:rsidRPr="00EA224A" w:rsidRDefault="0B3BBCF7" w:rsidP="003A09D8">
            <w:pPr>
              <w:pStyle w:val="ListParagraph"/>
              <w:numPr>
                <w:ilvl w:val="0"/>
                <w:numId w:val="15"/>
              </w:numPr>
              <w:tabs>
                <w:tab w:val="left" w:pos="484"/>
              </w:tabs>
              <w:rPr>
                <w:rFonts w:eastAsia="Calibri" w:cs="Calibri"/>
                <w:lang w:val="en-US"/>
              </w:rPr>
            </w:pPr>
            <w:r w:rsidRPr="00EA224A">
              <w:rPr>
                <w:rFonts w:eastAsia="Calibri" w:cs="Calibri"/>
                <w:lang w:val="en-US"/>
              </w:rPr>
              <w:t>D. Melin, “Director Product Development SciBase AB”</w:t>
            </w:r>
          </w:p>
          <w:p w14:paraId="54EF21A6" w14:textId="0C4CC3CD" w:rsidR="2BF8EF82" w:rsidRDefault="2BF8EF82" w:rsidP="2BF8EF82">
            <w:pPr>
              <w:spacing w:after="0"/>
              <w:rPr>
                <w:rFonts w:cs="Calibri"/>
                <w:b/>
                <w:bCs/>
                <w:lang w:val="en-US"/>
              </w:rPr>
            </w:pPr>
          </w:p>
          <w:p w14:paraId="39053BE7" w14:textId="4685F94B" w:rsidR="62CEFCF0" w:rsidRPr="00D3501C" w:rsidRDefault="492E8A79" w:rsidP="003A09D8">
            <w:pPr>
              <w:pStyle w:val="ListParagraph"/>
              <w:numPr>
                <w:ilvl w:val="0"/>
                <w:numId w:val="1"/>
              </w:numPr>
              <w:jc w:val="center"/>
              <w:rPr>
                <w:b/>
                <w:bCs/>
                <w:sz w:val="28"/>
                <w:szCs w:val="28"/>
                <w:lang w:val="en-US"/>
              </w:rPr>
            </w:pPr>
            <w:r w:rsidRPr="492E8A79">
              <w:rPr>
                <w:rFonts w:ascii="Calibri" w:eastAsia="Calibri" w:hAnsi="Calibri" w:cs="Calibri"/>
                <w:b/>
                <w:bCs/>
                <w:sz w:val="28"/>
                <w:szCs w:val="28"/>
                <w:lang w:val="en-US"/>
              </w:rPr>
              <w:t>SiLago: Silicon Lego as the Basis for Design Automation of High-Performance, Energy Efficient Custom Computing</w:t>
            </w:r>
          </w:p>
          <w:p w14:paraId="36A20BC1" w14:textId="35BD9285" w:rsidR="62CEFCF0" w:rsidRDefault="62CEFCF0" w:rsidP="62CEFCF0">
            <w:pPr>
              <w:ind w:firstLine="284"/>
              <w:jc w:val="center"/>
            </w:pPr>
            <w:r w:rsidRPr="62CEFCF0">
              <w:rPr>
                <w:rFonts w:eastAsia="Calibri" w:cs="Calibri"/>
                <w:szCs w:val="24"/>
                <w:lang w:val="en-US"/>
              </w:rPr>
              <w:t>Professor Ahmed Hemani</w:t>
            </w:r>
          </w:p>
          <w:p w14:paraId="511D97AD" w14:textId="41D53772" w:rsidR="62CEFCF0" w:rsidRDefault="62CEFCF0" w:rsidP="00EA224A">
            <w:pPr>
              <w:ind w:firstLine="284"/>
              <w:jc w:val="center"/>
            </w:pPr>
            <w:r w:rsidRPr="62CEFCF0">
              <w:rPr>
                <w:rFonts w:eastAsia="Calibri" w:cs="Calibri"/>
                <w:szCs w:val="24"/>
                <w:lang w:val="en-US"/>
              </w:rPr>
              <w:t xml:space="preserve"> </w:t>
            </w:r>
            <w:r w:rsidRPr="62CEFCF0">
              <w:rPr>
                <w:rFonts w:eastAsia="Calibri" w:cs="Calibri"/>
                <w:color w:val="5B9BD5"/>
                <w:szCs w:val="24"/>
                <w:lang w:val="en-US"/>
              </w:rPr>
              <w:t xml:space="preserve">Problem Statement: </w:t>
            </w:r>
            <w:r w:rsidRPr="62CEFCF0">
              <w:rPr>
                <w:rFonts w:eastAsia="Calibri" w:cs="Calibri"/>
                <w:szCs w:val="24"/>
                <w:lang w:val="en-US"/>
              </w:rPr>
              <w:t xml:space="preserve">High-performance and energy-efficiency are two vital goals for all computing systems from edge to cloud and exa-scale scientific computing. The two metrics are often combined as energy-delay product. It is well known that custom hardware or ASICs deliver orders better energy-delay product compared to COTS </w:t>
            </w:r>
            <w:r w:rsidRPr="62CEFCF0">
              <w:rPr>
                <w:rFonts w:eastAsia="Calibri" w:cs="Calibri"/>
                <w:szCs w:val="24"/>
                <w:lang w:val="en-US"/>
              </w:rPr>
              <w:lastRenderedPageBreak/>
              <w:t xml:space="preserve">(Commercial Off the Shelf) solutions like GPUs, FPGAs etc. and software-centric platform based multi-core SOCs. </w:t>
            </w:r>
          </w:p>
          <w:p w14:paraId="48332675" w14:textId="2661A694" w:rsidR="62CEFCF0" w:rsidRDefault="62CEFCF0" w:rsidP="62CEFCF0">
            <w:pPr>
              <w:ind w:firstLine="284"/>
              <w:jc w:val="both"/>
            </w:pPr>
            <w:r w:rsidRPr="62CEFCF0">
              <w:rPr>
                <w:rFonts w:eastAsia="Calibri" w:cs="Calibri"/>
                <w:szCs w:val="24"/>
                <w:lang w:val="en-US"/>
              </w:rPr>
              <w:t>Evidence of dissatisfaction with non-ASIC solution abound: the cloud community</w:t>
            </w:r>
            <w:r w:rsidRPr="62CEFCF0">
              <w:rPr>
                <w:rFonts w:eastAsia="Calibri" w:cs="Calibri"/>
                <w:szCs w:val="24"/>
                <w:vertAlign w:val="superscript"/>
                <w:lang w:val="en-US"/>
              </w:rPr>
              <w:t>1</w:t>
            </w:r>
            <w:r w:rsidRPr="62CEFCF0">
              <w:rPr>
                <w:rFonts w:eastAsia="Calibri" w:cs="Calibri"/>
                <w:szCs w:val="24"/>
                <w:lang w:val="en-US"/>
              </w:rPr>
              <w:t xml:space="preserve"> has shown that ASICs provide 2-3 orders lower total-cost-of-ownership compared to non-ASIC alternatives, the autonomous driving community</w:t>
            </w:r>
            <w:r w:rsidRPr="62CEFCF0">
              <w:rPr>
                <w:rFonts w:eastAsia="Calibri" w:cs="Calibri"/>
                <w:szCs w:val="24"/>
                <w:vertAlign w:val="superscript"/>
                <w:lang w:val="en-US"/>
              </w:rPr>
              <w:t>2</w:t>
            </w:r>
            <w:r w:rsidRPr="62CEFCF0">
              <w:rPr>
                <w:rFonts w:eastAsia="Calibri" w:cs="Calibri"/>
                <w:szCs w:val="24"/>
                <w:lang w:val="en-US"/>
              </w:rPr>
              <w:t xml:space="preserve"> has said that COTS significantly reduce the driving range of electric cars. It is not surprising that both Google</w:t>
            </w:r>
            <w:r w:rsidRPr="62CEFCF0">
              <w:rPr>
                <w:rFonts w:eastAsia="Calibri" w:cs="Calibri"/>
                <w:szCs w:val="24"/>
                <w:vertAlign w:val="superscript"/>
                <w:lang w:val="en-US"/>
              </w:rPr>
              <w:t>3</w:t>
            </w:r>
            <w:r w:rsidRPr="62CEFCF0">
              <w:rPr>
                <w:rFonts w:eastAsia="Calibri" w:cs="Calibri"/>
                <w:szCs w:val="24"/>
                <w:lang w:val="en-US"/>
              </w:rPr>
              <w:t xml:space="preserve"> and Tesla</w:t>
            </w:r>
            <w:r w:rsidRPr="62CEFCF0">
              <w:rPr>
                <w:rFonts w:eastAsia="Calibri" w:cs="Calibri"/>
                <w:szCs w:val="24"/>
                <w:vertAlign w:val="superscript"/>
                <w:lang w:val="en-US"/>
              </w:rPr>
              <w:t>4</w:t>
            </w:r>
            <w:r w:rsidRPr="62CEFCF0">
              <w:rPr>
                <w:rFonts w:eastAsia="Calibri" w:cs="Calibri"/>
                <w:szCs w:val="24"/>
                <w:lang w:val="en-US"/>
              </w:rPr>
              <w:t xml:space="preserve"> have opted for ASIC based solutions for their AI cloud load and autonomous driving respectively. In fact, the demand for ASIC in the AI community is so pronounced that Forbes published an article</w:t>
            </w:r>
            <w:r w:rsidRPr="62CEFCF0">
              <w:rPr>
                <w:rFonts w:eastAsia="Calibri" w:cs="Calibri"/>
                <w:szCs w:val="24"/>
                <w:vertAlign w:val="superscript"/>
                <w:lang w:val="en-US"/>
              </w:rPr>
              <w:t>5</w:t>
            </w:r>
            <w:r w:rsidRPr="62CEFCF0">
              <w:rPr>
                <w:rFonts w:eastAsia="Calibri" w:cs="Calibri"/>
                <w:szCs w:val="24"/>
                <w:lang w:val="en-US"/>
              </w:rPr>
              <w:t xml:space="preserve"> with title “Will ASIC be the next big-thing in AI”.</w:t>
            </w:r>
          </w:p>
          <w:p w14:paraId="226B293C" w14:textId="57E20E8A" w:rsidR="62CEFCF0" w:rsidRDefault="62CEFCF0" w:rsidP="62CEFCF0">
            <w:pPr>
              <w:ind w:firstLine="284"/>
              <w:jc w:val="both"/>
            </w:pPr>
            <w:r w:rsidRPr="62CEFCF0">
              <w:rPr>
                <w:rFonts w:eastAsia="Calibri" w:cs="Calibri"/>
                <w:szCs w:val="24"/>
                <w:lang w:val="en-US"/>
              </w:rPr>
              <w:t>The reason why ASICs are not adopted as mainstream solution is that it is very expensive</w:t>
            </w:r>
            <w:r w:rsidRPr="62CEFCF0">
              <w:rPr>
                <w:rFonts w:eastAsia="Calibri" w:cs="Calibri"/>
                <w:szCs w:val="24"/>
                <w:vertAlign w:val="superscript"/>
                <w:lang w:val="en-US"/>
              </w:rPr>
              <w:t>6</w:t>
            </w:r>
            <w:r w:rsidRPr="62CEFCF0">
              <w:rPr>
                <w:rFonts w:eastAsia="Calibri" w:cs="Calibri"/>
                <w:szCs w:val="24"/>
                <w:lang w:val="en-US"/>
              </w:rPr>
              <w:t>, it is projected to cost 1.5 billion dollars for 3 nm node. Additionally to design ASICs, requires specialist competence and design tools, has a long lead time of 1-2 years. As a result, ASICs are profitable only if there is a large volume or large profit. Small actors, especially start-ups must make compromises like reduced accuracy, framerate etc. in their solutions.</w:t>
            </w:r>
          </w:p>
          <w:p w14:paraId="783A8A65" w14:textId="68DDD52C" w:rsidR="62CEFCF0" w:rsidRDefault="62CEFCF0" w:rsidP="62CEFCF0">
            <w:pPr>
              <w:jc w:val="both"/>
            </w:pPr>
            <w:r w:rsidRPr="62CEFCF0">
              <w:rPr>
                <w:rFonts w:eastAsia="Calibri" w:cs="Calibri"/>
                <w:color w:val="5B9BD5"/>
                <w:szCs w:val="24"/>
                <w:lang w:val="en-US"/>
              </w:rPr>
              <w:t xml:space="preserve">The SiLago Breakthrough: </w:t>
            </w:r>
            <w:r w:rsidRPr="62CEFCF0">
              <w:rPr>
                <w:rFonts w:eastAsia="Calibri" w:cs="Calibri"/>
                <w:szCs w:val="24"/>
                <w:lang w:val="en-US"/>
              </w:rPr>
              <w:t>The high-performance custom computing group at ELE has developed a solution inspired by Lego bricks that enables ASIC comparable energy-delay product, does not require specialist design competence or tools and allows the SiLago designs to be price competitive compared to COTS even in low volumes.</w:t>
            </w:r>
          </w:p>
          <w:p w14:paraId="4495440F" w14:textId="4C166E7C" w:rsidR="62CEFCF0" w:rsidRDefault="62CEFCF0" w:rsidP="62CEFCF0">
            <w:pPr>
              <w:jc w:val="both"/>
              <w:rPr>
                <w:rFonts w:eastAsia="Calibri" w:cs="Calibri"/>
                <w:szCs w:val="24"/>
                <w:lang w:val="en-US"/>
              </w:rPr>
            </w:pPr>
            <w:r>
              <w:rPr>
                <w:noProof/>
                <w:lang w:val="sv-SE" w:eastAsia="sv-SE"/>
              </w:rPr>
              <w:drawing>
                <wp:inline distT="0" distB="0" distL="0" distR="0" wp14:anchorId="41B5D57F" wp14:editId="79B97D2E">
                  <wp:extent cx="4572000" cy="1524000"/>
                  <wp:effectExtent l="0" t="0" r="0" b="0"/>
                  <wp:docPr id="965879187" name="Picture 965879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572000" cy="1524000"/>
                          </a:xfrm>
                          <a:prstGeom prst="rect">
                            <a:avLst/>
                          </a:prstGeom>
                        </pic:spPr>
                      </pic:pic>
                    </a:graphicData>
                  </a:graphic>
                </wp:inline>
              </w:drawing>
            </w:r>
          </w:p>
          <w:p w14:paraId="47612A15" w14:textId="3159A1E6" w:rsidR="62CEFCF0" w:rsidRDefault="62CEFCF0" w:rsidP="62CEFCF0">
            <w:pPr>
              <w:ind w:left="360"/>
            </w:pPr>
            <w:r w:rsidRPr="62CEFCF0">
              <w:rPr>
                <w:rFonts w:eastAsia="Calibri" w:cs="Calibri"/>
                <w:szCs w:val="24"/>
                <w:lang w:val="en-US"/>
              </w:rPr>
              <w:t>Fig. 1 SiLago is orders of magnitude more efficient than COTS and price-competitive</w:t>
            </w:r>
          </w:p>
          <w:p w14:paraId="50038786" w14:textId="7B0E7D27" w:rsidR="62CEFCF0" w:rsidRDefault="62CEFCF0" w:rsidP="62CEFCF0">
            <w:pPr>
              <w:ind w:firstLine="284"/>
              <w:jc w:val="both"/>
            </w:pPr>
            <w:r w:rsidRPr="62CEFCF0">
              <w:rPr>
                <w:rFonts w:eastAsia="Calibri" w:cs="Calibri"/>
                <w:szCs w:val="24"/>
                <w:lang w:val="en-US"/>
              </w:rPr>
              <w:t>SiLago has been applied to a) biologically inspired model of cortex</w:t>
            </w:r>
            <w:r w:rsidRPr="62CEFCF0">
              <w:rPr>
                <w:rFonts w:eastAsia="Calibri" w:cs="Calibri"/>
                <w:szCs w:val="24"/>
                <w:vertAlign w:val="superscript"/>
                <w:lang w:val="en-US"/>
              </w:rPr>
              <w:t>7</w:t>
            </w:r>
            <w:r w:rsidRPr="62CEFCF0">
              <w:rPr>
                <w:rFonts w:eastAsia="Calibri" w:cs="Calibri"/>
                <w:szCs w:val="24"/>
                <w:lang w:val="en-US"/>
              </w:rPr>
              <w:t>, b) machine learning based recognition of bacterial strain</w:t>
            </w:r>
            <w:r w:rsidRPr="62CEFCF0">
              <w:rPr>
                <w:rFonts w:eastAsia="Calibri" w:cs="Calibri"/>
                <w:szCs w:val="24"/>
                <w:vertAlign w:val="superscript"/>
                <w:lang w:val="en-US"/>
              </w:rPr>
              <w:t>8</w:t>
            </w:r>
            <w:r w:rsidRPr="62CEFCF0">
              <w:rPr>
                <w:rFonts w:eastAsia="Calibri" w:cs="Calibri"/>
                <w:szCs w:val="24"/>
                <w:lang w:val="en-US"/>
              </w:rPr>
              <w:t xml:space="preserve"> and c) convolutional neural network benchmarks</w:t>
            </w:r>
            <w:r w:rsidRPr="62CEFCF0">
              <w:rPr>
                <w:rFonts w:eastAsia="Calibri" w:cs="Calibri"/>
                <w:szCs w:val="24"/>
                <w:vertAlign w:val="superscript"/>
                <w:lang w:val="en-US"/>
              </w:rPr>
              <w:t>9</w:t>
            </w:r>
            <w:r w:rsidRPr="62CEFCF0">
              <w:rPr>
                <w:rFonts w:eastAsia="Calibri" w:cs="Calibri"/>
                <w:szCs w:val="24"/>
                <w:lang w:val="en-US"/>
              </w:rPr>
              <w:t xml:space="preserve"> and d) diverse wireless and multi-media applications</w:t>
            </w:r>
            <w:r w:rsidRPr="62CEFCF0">
              <w:rPr>
                <w:rFonts w:eastAsia="Calibri" w:cs="Calibri"/>
                <w:szCs w:val="24"/>
                <w:vertAlign w:val="superscript"/>
                <w:lang w:val="en-US"/>
              </w:rPr>
              <w:t>10</w:t>
            </w:r>
            <w:r w:rsidRPr="62CEFCF0">
              <w:rPr>
                <w:rFonts w:eastAsia="Calibri" w:cs="Calibri"/>
                <w:szCs w:val="24"/>
                <w:lang w:val="en-US"/>
              </w:rPr>
              <w:t xml:space="preserve">. In all these cases, SiLago solutions have been shown to be comparable to ASIC and orders better than COTS in energy-delay product. SiLago will be used for an advanced 3 nm node at IMEC in a project funded by IMEC. </w:t>
            </w:r>
          </w:p>
          <w:p w14:paraId="6327FB77" w14:textId="311FA685" w:rsidR="62CEFCF0" w:rsidRDefault="62CEFCF0" w:rsidP="62CEFCF0">
            <w:pPr>
              <w:jc w:val="both"/>
            </w:pPr>
            <w:r w:rsidRPr="62CEFCF0">
              <w:rPr>
                <w:rFonts w:eastAsia="Calibri" w:cs="Calibri"/>
                <w:color w:val="5B9BD5"/>
                <w:szCs w:val="24"/>
                <w:lang w:val="en-US"/>
              </w:rPr>
              <w:t xml:space="preserve">Beneficiaries: </w:t>
            </w:r>
            <w:r w:rsidRPr="62CEFCF0">
              <w:rPr>
                <w:rFonts w:eastAsia="Calibri" w:cs="Calibri"/>
                <w:szCs w:val="24"/>
                <w:lang w:val="en-US"/>
              </w:rPr>
              <w:t>By making ASIC comparable energy-delay product accessible and affordable to small actors, SiLago will benefit AI start-ups. This will level the playing field and spur innovation. Custom, affordable super-computers will become possible that will liberate and accelerate science and at the same time make scientific computing sustainable. Today it takes 48 hours to simulate one heartbeat</w:t>
            </w:r>
            <w:r w:rsidRPr="62CEFCF0">
              <w:rPr>
                <w:rFonts w:eastAsia="Calibri" w:cs="Calibri"/>
                <w:szCs w:val="24"/>
                <w:vertAlign w:val="superscript"/>
                <w:lang w:val="en-US"/>
              </w:rPr>
              <w:t>11</w:t>
            </w:r>
            <w:r w:rsidRPr="62CEFCF0">
              <w:rPr>
                <w:rFonts w:eastAsia="Calibri" w:cs="Calibri"/>
                <w:szCs w:val="24"/>
                <w:lang w:val="en-US"/>
              </w:rPr>
              <w:t xml:space="preserve"> and using super-computers for advanced diagnostics costs 14K USDs per patient. The leakage power of all electronic devices in West Europe is sufficient to drive all railways. Leakage power is proportional to the area of the silicon used and hardware centric solutions like ASICs and </w:t>
            </w:r>
            <w:r w:rsidRPr="62CEFCF0">
              <w:rPr>
                <w:rFonts w:eastAsia="Calibri" w:cs="Calibri"/>
                <w:szCs w:val="24"/>
                <w:lang w:val="en-US"/>
              </w:rPr>
              <w:lastRenderedPageBreak/>
              <w:t>SiLago on an average use 10X less silicon for the same function compared to software-centric solution. By making hardware-centric solutions accessible, SiLago will not only empower high-performance, low-energy computing but also make a significant impact on sustainability.</w:t>
            </w:r>
          </w:p>
          <w:p w14:paraId="5BAEF59C" w14:textId="1EB7F6C9" w:rsidR="62CEFCF0" w:rsidRDefault="60497C50" w:rsidP="60497C50">
            <w:pPr>
              <w:jc w:val="both"/>
            </w:pPr>
            <w:r w:rsidRPr="60497C50">
              <w:rPr>
                <w:rFonts w:eastAsia="Calibri" w:cs="Calibri"/>
                <w:color w:val="5B9BD5"/>
                <w:szCs w:val="24"/>
                <w:lang w:val="en-US"/>
              </w:rPr>
              <w:t xml:space="preserve">UoA Research Contributed to SiLago: </w:t>
            </w:r>
            <w:r w:rsidRPr="60497C50">
              <w:rPr>
                <w:rFonts w:eastAsia="Calibri" w:cs="Calibri"/>
                <w:szCs w:val="24"/>
                <w:lang w:val="en-US"/>
              </w:rPr>
              <w:t>The division of ELE has conducted high-impact research in design automation and novel architectural solutions for more than three decades. Prof. Hemani’s doctoral thesis was the basis for the first high-level synthesis product from CADENCE. The first paper to coin the term Networks-on-Chip also came from the same group. During the last decade, the groups has researched on high performance computing and its design automation based on domain specific Coarse Grain Reconfigurable Architectures. This research was applied to a real industrial problem from Huawei and won the prestigious HiPEAC technology transfer award in 2012. . Prof. Axel Jantsch (now at TU Wien), Prof. Zhonghai Lu, Assoc. Prof. Johnny Öberg, Docent Masoumeh Ebrahimi also work in these areas and have also collaborated in some of these research projects. The idea of SiLago is a synthesis of these research that has happened in the UoA.</w:t>
            </w:r>
          </w:p>
          <w:p w14:paraId="6AA0C017" w14:textId="7710D675" w:rsidR="62CEFCF0" w:rsidRDefault="62CEFCF0" w:rsidP="62CEFCF0">
            <w:pPr>
              <w:jc w:val="both"/>
              <w:rPr>
                <w:rFonts w:eastAsia="Calibri" w:cs="Calibri"/>
                <w:szCs w:val="24"/>
                <w:lang w:val="en-US"/>
              </w:rPr>
            </w:pPr>
            <w:r>
              <w:rPr>
                <w:noProof/>
                <w:lang w:val="sv-SE" w:eastAsia="sv-SE"/>
              </w:rPr>
              <w:drawing>
                <wp:inline distT="0" distB="0" distL="0" distR="0" wp14:anchorId="2BA1F8BD" wp14:editId="079AB6D8">
                  <wp:extent cx="4572000" cy="2190750"/>
                  <wp:effectExtent l="0" t="0" r="0" b="0"/>
                  <wp:docPr id="573488571" name="Picture 573488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4572000" cy="2190750"/>
                          </a:xfrm>
                          <a:prstGeom prst="rect">
                            <a:avLst/>
                          </a:prstGeom>
                        </pic:spPr>
                      </pic:pic>
                    </a:graphicData>
                  </a:graphic>
                </wp:inline>
              </w:drawing>
            </w:r>
          </w:p>
          <w:p w14:paraId="7C775F08" w14:textId="0380B779" w:rsidR="62CEFCF0" w:rsidRDefault="62CEFCF0" w:rsidP="62CEFCF0">
            <w:pPr>
              <w:ind w:left="360"/>
            </w:pPr>
            <w:r w:rsidRPr="62CEFCF0">
              <w:rPr>
                <w:rFonts w:eastAsia="Calibri" w:cs="Calibri"/>
                <w:szCs w:val="24"/>
                <w:lang w:val="en-US"/>
              </w:rPr>
              <w:t>Fig. 2. SiLago is inspired by Lego bricks and prefabricated wall segments that enables composition by abutment. This makes the design process composable and predictable, that in turn enable automation. Automation is essential to create ASIC like custom and efficient designs</w:t>
            </w:r>
          </w:p>
          <w:p w14:paraId="79063C0C" w14:textId="66CF6E7D" w:rsidR="60497C50" w:rsidRDefault="60497C50" w:rsidP="60497C50">
            <w:pPr>
              <w:jc w:val="both"/>
            </w:pPr>
            <w:r w:rsidRPr="60497C50">
              <w:rPr>
                <w:rFonts w:eastAsia="Calibri" w:cs="Calibri"/>
                <w:color w:val="5B9BD5"/>
                <w:szCs w:val="24"/>
                <w:lang w:val="en-US"/>
              </w:rPr>
              <w:t xml:space="preserve">The SiLago Insight: </w:t>
            </w:r>
            <w:r w:rsidRPr="60497C50">
              <w:rPr>
                <w:rFonts w:eastAsia="Calibri" w:cs="Calibri"/>
                <w:szCs w:val="24"/>
                <w:lang w:val="en-US"/>
              </w:rPr>
              <w:t xml:space="preserve">Designing ASICs today is largely a manual effort, which makes them expensive and inaccessible. The flaw lies with using tiny boolean-level standard cells as the atomic building blocks. Designing complex, 100+ million gate designs, with standard cells is akin to designing skyscrapers with bricks. Construction industry adopted prefabricated wall segments (PWS) as the basis for designing large structures as shown in Fig. 2. PWS bring out all their interconnect for plumbing, electrical, telecom etc., at right place, so that they compose with neighbouring PWSs by abutment. Lego bricks also have the same property. Infinite variety of designs can be created from a finite library of Lego brick types. SiLago – Silicon Lego – is inspired by this design style. SiLago blocks are 3-4 orders larger than standard-cells, coarse grain reconfigurable and customized for specific domains to enable implementation of applications that span multiple domains. SiLago blocks bring out all their interconnect at right place and on right metal layers to enable composition by abutment. Designs composed by abutting SiLago blocks do not </w:t>
            </w:r>
            <w:r w:rsidRPr="60497C50">
              <w:rPr>
                <w:rFonts w:eastAsia="Calibri" w:cs="Calibri"/>
                <w:szCs w:val="24"/>
                <w:lang w:val="en-US"/>
              </w:rPr>
              <w:lastRenderedPageBreak/>
              <w:t>need logic or physical synthesis. SiLago blocks communicate with each other over NOCs that are also composed in terms of NOC specific SiLago blocks. Similarly, SRAM based SiLago blocks have also been developed. An application level-synthesis tool then automatically selects the right number and type of SiLago blocks, floorplans them to create an ASIC like custom designs</w:t>
            </w:r>
            <w:r w:rsidRPr="60497C50">
              <w:rPr>
                <w:rFonts w:eastAsia="Calibri" w:cs="Calibri"/>
                <w:szCs w:val="24"/>
                <w:vertAlign w:val="superscript"/>
                <w:lang w:val="en-US"/>
              </w:rPr>
              <w:t>10</w:t>
            </w:r>
            <w:r w:rsidRPr="60497C50">
              <w:rPr>
                <w:rFonts w:eastAsia="Calibri" w:cs="Calibri"/>
                <w:szCs w:val="24"/>
                <w:lang w:val="en-US"/>
              </w:rPr>
              <w:t>. This synthesis tool is based on the constraints programming technology</w:t>
            </w:r>
            <w:r w:rsidRPr="60497C50">
              <w:rPr>
                <w:rFonts w:eastAsia="Calibri" w:cs="Calibri"/>
                <w:szCs w:val="24"/>
                <w:vertAlign w:val="superscript"/>
                <w:lang w:val="en-US"/>
              </w:rPr>
              <w:t>12</w:t>
            </w:r>
            <w:r w:rsidRPr="60497C50">
              <w:rPr>
                <w:rFonts w:eastAsia="Calibri" w:cs="Calibri"/>
                <w:szCs w:val="24"/>
                <w:lang w:val="en-US"/>
              </w:rPr>
              <w:t xml:space="preserve"> developed by the late Prof. Christian Schulte at KTH and also involved collaboration with Prof. Ingo Sander. The only effort that the end-user has to make is to model the application in Matlab/Simulink environment. </w:t>
            </w:r>
          </w:p>
          <w:p w14:paraId="54E850D4" w14:textId="215EEED5" w:rsidR="60497C50" w:rsidRDefault="60497C50" w:rsidP="60497C50">
            <w:pPr>
              <w:jc w:val="both"/>
            </w:pPr>
            <w:r w:rsidRPr="60497C50">
              <w:rPr>
                <w:rFonts w:eastAsia="Calibri" w:cs="Calibri"/>
                <w:szCs w:val="24"/>
                <w:lang w:val="en-US"/>
              </w:rPr>
              <w:t>Many PhD students and Postdocs have contributed to the above research. They are: Muhammad Ali Shami, Adeel Tajammul, Omer Malik, Jamshaid Sarwar Malik, Mohammed Badawi, Nasim Farahini, Hasan Sohofi, Syed Mohamed Asad Hasan Jafri, Li Shuo and Liu Pei. External collaborators include Profs. Anshul Kumar, Kolin Paul from IIT Delhi, Prof. S K Nandy from IISc Bangalore, Prof. Nobert Wehn from TU Kaiserslautern and Prof. Onur Mutlu from ETH Zurich.</w:t>
            </w:r>
          </w:p>
          <w:p w14:paraId="6E4260A1" w14:textId="08051E4E" w:rsidR="62CEFCF0" w:rsidRDefault="62CEFCF0" w:rsidP="62CEFCF0">
            <w:pPr>
              <w:jc w:val="both"/>
            </w:pPr>
            <w:r w:rsidRPr="62CEFCF0">
              <w:rPr>
                <w:rFonts w:eastAsia="Calibri" w:cs="Calibri"/>
                <w:color w:val="5B9BD5"/>
                <w:szCs w:val="24"/>
                <w:lang w:val="en-US"/>
              </w:rPr>
              <w:t xml:space="preserve">The Next steps in SiLago Research: </w:t>
            </w:r>
            <w:r w:rsidRPr="62CEFCF0">
              <w:rPr>
                <w:rFonts w:eastAsia="Calibri" w:cs="Calibri"/>
                <w:szCs w:val="24"/>
                <w:lang w:val="en-US"/>
              </w:rPr>
              <w:t>The SiLago idea is planned to be used for Computation in Memristor and applying it to a biologically inspired model of cortex developed at KTH by Prof. Anders Lansner with external partners from CEA-LETI, France and Prof. S Mitra, Stanford. Preliminary estimate shows that, it will be possible to achieve human-scale cortex with power consumption and formfactor comparable to human brain. Another futuristic project is to SiLago as the basis for designing exa-scale custom-computers, based on wave-computing in Plasmonics in collaboration with IMEC. Finally, in collaboration with Uppsala, INN Hedmark and Tromso Universty in Norway, SiLago is being planned as the basis for a ML based system to rapidly and accurately detect bacterial strains and their resistance to anti-biotics. The input data would Raman-spectra of the cells and short-read sequences. Lastly, SiLago is planned as the basis for designing a hybrid CMOS+Plasmonics design for wave based exa-scale computing in collaboration with IMEC.</w:t>
            </w:r>
          </w:p>
          <w:p w14:paraId="1719247B" w14:textId="30F62E16" w:rsidR="62CEFCF0" w:rsidRDefault="62CEFCF0" w:rsidP="62CEFCF0">
            <w:pPr>
              <w:jc w:val="both"/>
              <w:rPr>
                <w:rFonts w:eastAsia="Calibri" w:cs="Calibri"/>
                <w:szCs w:val="24"/>
                <w:lang w:val="en-US"/>
              </w:rPr>
            </w:pPr>
            <w:r>
              <w:rPr>
                <w:noProof/>
                <w:lang w:val="sv-SE" w:eastAsia="sv-SE"/>
              </w:rPr>
              <w:drawing>
                <wp:inline distT="0" distB="0" distL="0" distR="0" wp14:anchorId="6F0A9532" wp14:editId="6D7244BC">
                  <wp:extent cx="4572000" cy="1895475"/>
                  <wp:effectExtent l="0" t="0" r="0" b="0"/>
                  <wp:docPr id="119949874" name="Picture 119949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572000" cy="1895475"/>
                          </a:xfrm>
                          <a:prstGeom prst="rect">
                            <a:avLst/>
                          </a:prstGeom>
                        </pic:spPr>
                      </pic:pic>
                    </a:graphicData>
                  </a:graphic>
                </wp:inline>
              </w:drawing>
            </w:r>
          </w:p>
          <w:p w14:paraId="255EE6AF" w14:textId="59DF97BB" w:rsidR="62CEFCF0" w:rsidRDefault="62CEFCF0" w:rsidP="62CEFCF0">
            <w:r w:rsidRPr="62CEFCF0">
              <w:rPr>
                <w:rFonts w:eastAsia="Calibri" w:cs="Calibri"/>
                <w:szCs w:val="24"/>
                <w:lang w:val="en-US"/>
              </w:rPr>
              <w:t>Fig. 3. SiLago is planned to be used for some of the beyond Moore technologies like Plasmonics based wave-computing for exa-scale custom computing machines and Computation in Memristors for human-scale models of Cortex that can be comparable to human brain in power consumption and form-factor</w:t>
            </w:r>
          </w:p>
          <w:p w14:paraId="1D5D7277" w14:textId="68695F51" w:rsidR="62CEFCF0" w:rsidRDefault="62CEFCF0" w:rsidP="62CEFCF0">
            <w:pPr>
              <w:pStyle w:val="Heading1"/>
            </w:pPr>
            <w:r w:rsidRPr="62CEFCF0">
              <w:rPr>
                <w:rFonts w:ascii="Calibri Light" w:eastAsia="Calibri Light" w:hAnsi="Calibri Light" w:cs="Calibri Light"/>
                <w:b w:val="0"/>
                <w:bCs w:val="0"/>
                <w:color w:val="2E74B5"/>
                <w:sz w:val="32"/>
                <w:szCs w:val="32"/>
                <w:lang w:val="en-US"/>
              </w:rPr>
              <w:lastRenderedPageBreak/>
              <w:t>References</w:t>
            </w:r>
          </w:p>
          <w:p w14:paraId="6E325A97" w14:textId="5A41DB1B" w:rsidR="62CEFCF0" w:rsidRDefault="62CEFCF0" w:rsidP="00EA224A">
            <w:pPr>
              <w:spacing w:after="0"/>
              <w:ind w:left="640" w:hanging="640"/>
              <w:jc w:val="both"/>
            </w:pPr>
            <w:r w:rsidRPr="62CEFCF0">
              <w:rPr>
                <w:rFonts w:eastAsia="Calibri" w:cs="Calibri"/>
                <w:szCs w:val="24"/>
                <w:lang w:val="en-US"/>
              </w:rPr>
              <w:t xml:space="preserve">1.        Khazraee, M., Gutierrez, L. V., Magaki, I. &amp; Taylor, M. B. Specializing a Planet’s Computation: ASIC Clouds. </w:t>
            </w:r>
            <w:r w:rsidRPr="62CEFCF0">
              <w:rPr>
                <w:rFonts w:eastAsia="Calibri" w:cs="Calibri"/>
                <w:i/>
                <w:iCs/>
                <w:szCs w:val="24"/>
                <w:lang w:val="en-US"/>
              </w:rPr>
              <w:t>IEEE Micro</w:t>
            </w:r>
            <w:r w:rsidRPr="62CEFCF0">
              <w:rPr>
                <w:rFonts w:eastAsia="Calibri" w:cs="Calibri"/>
                <w:szCs w:val="24"/>
                <w:lang w:val="en-US"/>
              </w:rPr>
              <w:t xml:space="preserve"> </w:t>
            </w:r>
            <w:r w:rsidRPr="62CEFCF0">
              <w:rPr>
                <w:rFonts w:eastAsia="Calibri" w:cs="Calibri"/>
                <w:b/>
                <w:bCs/>
                <w:szCs w:val="24"/>
                <w:lang w:val="en-US"/>
              </w:rPr>
              <w:t>37</w:t>
            </w:r>
            <w:r w:rsidRPr="62CEFCF0">
              <w:rPr>
                <w:rFonts w:eastAsia="Calibri" w:cs="Calibri"/>
                <w:szCs w:val="24"/>
                <w:lang w:val="en-US"/>
              </w:rPr>
              <w:t>, 62–69 (2017).</w:t>
            </w:r>
          </w:p>
          <w:p w14:paraId="465FF709" w14:textId="606D49B8" w:rsidR="62CEFCF0" w:rsidRDefault="62CEFCF0" w:rsidP="00EA224A">
            <w:pPr>
              <w:spacing w:after="0"/>
              <w:ind w:left="640" w:hanging="640"/>
              <w:jc w:val="both"/>
            </w:pPr>
            <w:r w:rsidRPr="62CEFCF0">
              <w:rPr>
                <w:rFonts w:eastAsia="Calibri" w:cs="Calibri"/>
                <w:szCs w:val="24"/>
                <w:lang w:val="en-US"/>
              </w:rPr>
              <w:t xml:space="preserve">2.        Hanley, S. Autonomous Cars Have Shorter Range Due To High Power Consumption By Computers. </w:t>
            </w:r>
            <w:r w:rsidRPr="62CEFCF0">
              <w:rPr>
                <w:rFonts w:eastAsia="Calibri" w:cs="Calibri"/>
                <w:i/>
                <w:iCs/>
                <w:szCs w:val="24"/>
                <w:lang w:val="en-US"/>
              </w:rPr>
              <w:t>CleanTechnica</w:t>
            </w:r>
            <w:r w:rsidRPr="62CEFCF0">
              <w:rPr>
                <w:rFonts w:eastAsia="Calibri" w:cs="Calibri"/>
                <w:szCs w:val="24"/>
                <w:lang w:val="en-US"/>
              </w:rPr>
              <w:t xml:space="preserve"> (2017).</w:t>
            </w:r>
          </w:p>
          <w:p w14:paraId="40A1D391" w14:textId="55146418" w:rsidR="62CEFCF0" w:rsidRDefault="62CEFCF0" w:rsidP="00EA224A">
            <w:pPr>
              <w:spacing w:after="0"/>
              <w:ind w:left="640" w:hanging="640"/>
              <w:jc w:val="both"/>
            </w:pPr>
            <w:r w:rsidRPr="62CEFCF0">
              <w:rPr>
                <w:rFonts w:eastAsia="Calibri" w:cs="Calibri"/>
                <w:szCs w:val="24"/>
                <w:lang w:val="en-US"/>
              </w:rPr>
              <w:t xml:space="preserve">3.        Jouppi, N. P. </w:t>
            </w:r>
            <w:r w:rsidRPr="62CEFCF0">
              <w:rPr>
                <w:rFonts w:eastAsia="Calibri" w:cs="Calibri"/>
                <w:i/>
                <w:iCs/>
                <w:szCs w:val="24"/>
                <w:lang w:val="en-US"/>
              </w:rPr>
              <w:t>et al.</w:t>
            </w:r>
            <w:r w:rsidRPr="62CEFCF0">
              <w:rPr>
                <w:rFonts w:eastAsia="Calibri" w:cs="Calibri"/>
                <w:szCs w:val="24"/>
                <w:lang w:val="en-US"/>
              </w:rPr>
              <w:t xml:space="preserve"> In-Datacenter Performance Analysis of a Tensor Processing Unit. </w:t>
            </w:r>
            <w:r w:rsidRPr="62CEFCF0">
              <w:rPr>
                <w:rFonts w:eastAsia="Calibri" w:cs="Calibri"/>
                <w:i/>
                <w:iCs/>
                <w:szCs w:val="24"/>
                <w:lang w:val="en-US"/>
              </w:rPr>
              <w:t>ACM SIGARCH Comput. Archit. News</w:t>
            </w:r>
            <w:r w:rsidRPr="62CEFCF0">
              <w:rPr>
                <w:rFonts w:eastAsia="Calibri" w:cs="Calibri"/>
                <w:szCs w:val="24"/>
                <w:lang w:val="en-US"/>
              </w:rPr>
              <w:t xml:space="preserve"> </w:t>
            </w:r>
            <w:r w:rsidRPr="62CEFCF0">
              <w:rPr>
                <w:rFonts w:eastAsia="Calibri" w:cs="Calibri"/>
                <w:b/>
                <w:bCs/>
                <w:szCs w:val="24"/>
                <w:lang w:val="en-US"/>
              </w:rPr>
              <w:t>45</w:t>
            </w:r>
            <w:r w:rsidRPr="62CEFCF0">
              <w:rPr>
                <w:rFonts w:eastAsia="Calibri" w:cs="Calibri"/>
                <w:szCs w:val="24"/>
                <w:lang w:val="en-US"/>
              </w:rPr>
              <w:t>, 1–12 (2017).</w:t>
            </w:r>
          </w:p>
          <w:p w14:paraId="7F3A208B" w14:textId="564E5451" w:rsidR="62CEFCF0" w:rsidRDefault="62CEFCF0" w:rsidP="00EA224A">
            <w:pPr>
              <w:spacing w:after="0"/>
              <w:ind w:left="640" w:hanging="640"/>
              <w:jc w:val="both"/>
            </w:pPr>
            <w:r w:rsidRPr="62CEFCF0">
              <w:rPr>
                <w:rFonts w:eastAsia="Calibri" w:cs="Calibri"/>
                <w:szCs w:val="24"/>
                <w:lang w:val="en-US"/>
              </w:rPr>
              <w:t>4.        Su, J. Why Tesla Dropped Nvidia’s AI Platform For Self-Driving Cars And Built Its Own. 2018–2021 (2018).</w:t>
            </w:r>
          </w:p>
          <w:p w14:paraId="42235C38" w14:textId="4D802BAB" w:rsidR="62CEFCF0" w:rsidRDefault="62CEFCF0" w:rsidP="00EA224A">
            <w:pPr>
              <w:spacing w:after="0"/>
              <w:ind w:left="640" w:hanging="640"/>
              <w:jc w:val="both"/>
            </w:pPr>
            <w:r w:rsidRPr="62CEFCF0">
              <w:rPr>
                <w:rFonts w:eastAsia="Calibri" w:cs="Calibri"/>
                <w:szCs w:val="24"/>
                <w:lang w:val="en-US"/>
              </w:rPr>
              <w:t xml:space="preserve">5.        Freund, K. Will ASIC Chips Become The Next Big Thing In AI? </w:t>
            </w:r>
            <w:r w:rsidRPr="62CEFCF0">
              <w:rPr>
                <w:rFonts w:eastAsia="Calibri" w:cs="Calibri"/>
                <w:i/>
                <w:iCs/>
                <w:szCs w:val="24"/>
                <w:lang w:val="en-US"/>
              </w:rPr>
              <w:t>Forbes</w:t>
            </w:r>
            <w:r w:rsidRPr="62CEFCF0">
              <w:rPr>
                <w:rFonts w:eastAsia="Calibri" w:cs="Calibri"/>
                <w:szCs w:val="24"/>
                <w:lang w:val="en-US"/>
              </w:rPr>
              <w:t xml:space="preserve"> (2017).</w:t>
            </w:r>
          </w:p>
          <w:p w14:paraId="412A3256" w14:textId="2B87092D" w:rsidR="62CEFCF0" w:rsidRDefault="62CEFCF0" w:rsidP="00EA224A">
            <w:pPr>
              <w:spacing w:after="0"/>
              <w:ind w:left="640" w:hanging="640"/>
              <w:jc w:val="both"/>
            </w:pPr>
            <w:r w:rsidRPr="62CEFCF0">
              <w:rPr>
                <w:rFonts w:eastAsia="Calibri" w:cs="Calibri"/>
                <w:szCs w:val="24"/>
                <w:lang w:val="en-US"/>
              </w:rPr>
              <w:t xml:space="preserve">6.        Lapedus, M. Big Trouble At 3nm. </w:t>
            </w:r>
            <w:r w:rsidRPr="62CEFCF0">
              <w:rPr>
                <w:rFonts w:eastAsia="Calibri" w:cs="Calibri"/>
                <w:i/>
                <w:iCs/>
                <w:szCs w:val="24"/>
                <w:lang w:val="en-US"/>
              </w:rPr>
              <w:t>Semicond. Eng.</w:t>
            </w:r>
            <w:r w:rsidRPr="62CEFCF0">
              <w:rPr>
                <w:rFonts w:eastAsia="Calibri" w:cs="Calibri"/>
                <w:szCs w:val="24"/>
                <w:lang w:val="en-US"/>
              </w:rPr>
              <w:t xml:space="preserve"> 1–17 (2018).</w:t>
            </w:r>
          </w:p>
          <w:p w14:paraId="49DB78F3" w14:textId="4DCF107D" w:rsidR="62CEFCF0" w:rsidRDefault="62CEFCF0" w:rsidP="00EA224A">
            <w:pPr>
              <w:spacing w:after="0"/>
              <w:ind w:left="640" w:hanging="640"/>
              <w:jc w:val="both"/>
            </w:pPr>
            <w:r w:rsidRPr="62CEFCF0">
              <w:rPr>
                <w:rFonts w:eastAsia="Calibri" w:cs="Calibri"/>
                <w:szCs w:val="24"/>
                <w:lang w:val="en-US"/>
              </w:rPr>
              <w:t xml:space="preserve">7.        Stathis, D. </w:t>
            </w:r>
            <w:r w:rsidRPr="62CEFCF0">
              <w:rPr>
                <w:rFonts w:eastAsia="Calibri" w:cs="Calibri"/>
                <w:i/>
                <w:iCs/>
                <w:szCs w:val="24"/>
                <w:lang w:val="en-US"/>
              </w:rPr>
              <w:t>et al.</w:t>
            </w:r>
            <w:r w:rsidRPr="62CEFCF0">
              <w:rPr>
                <w:rFonts w:eastAsia="Calibri" w:cs="Calibri"/>
                <w:szCs w:val="24"/>
                <w:lang w:val="en-US"/>
              </w:rPr>
              <w:t xml:space="preserve"> eBrainII: A 3 kW Realtime Custom 3D DRAM integrated ASIC implementation of a Biologically Plausible Model of a Human Scale Cortex. </w:t>
            </w:r>
            <w:r w:rsidRPr="62CEFCF0">
              <w:rPr>
                <w:rFonts w:eastAsia="Calibri" w:cs="Calibri"/>
                <w:i/>
                <w:iCs/>
                <w:szCs w:val="24"/>
                <w:lang w:val="en-US"/>
              </w:rPr>
              <w:t>arXiv Prepr.</w:t>
            </w:r>
            <w:r w:rsidRPr="62CEFCF0">
              <w:rPr>
                <w:rFonts w:eastAsia="Calibri" w:cs="Calibri"/>
                <w:szCs w:val="24"/>
                <w:lang w:val="en-US"/>
              </w:rPr>
              <w:t xml:space="preserve"> (2019).</w:t>
            </w:r>
          </w:p>
          <w:p w14:paraId="6B18BC89" w14:textId="6E800B21" w:rsidR="62CEFCF0" w:rsidRDefault="62CEFCF0" w:rsidP="00EA224A">
            <w:pPr>
              <w:spacing w:after="0"/>
              <w:ind w:left="640" w:hanging="640"/>
              <w:jc w:val="both"/>
            </w:pPr>
            <w:r w:rsidRPr="62CEFCF0">
              <w:rPr>
                <w:rFonts w:eastAsia="Calibri" w:cs="Calibri"/>
                <w:szCs w:val="24"/>
                <w:lang w:val="en-US"/>
              </w:rPr>
              <w:t xml:space="preserve">8.        Yang, Y. </w:t>
            </w:r>
            <w:r w:rsidRPr="62CEFCF0">
              <w:rPr>
                <w:rFonts w:eastAsia="Calibri" w:cs="Calibri"/>
                <w:i/>
                <w:iCs/>
                <w:szCs w:val="24"/>
                <w:lang w:val="en-US"/>
              </w:rPr>
              <w:t>et al.</w:t>
            </w:r>
            <w:r w:rsidRPr="62CEFCF0">
              <w:rPr>
                <w:rFonts w:eastAsia="Calibri" w:cs="Calibri"/>
                <w:szCs w:val="24"/>
                <w:lang w:val="en-US"/>
              </w:rPr>
              <w:t xml:space="preserve"> RiBoSOM : Rapid Bacterial Genome Identification Using Self-Organizing Map implemented on the Synchoros SiLago Platform. in </w:t>
            </w:r>
            <w:r w:rsidRPr="62CEFCF0">
              <w:rPr>
                <w:rFonts w:eastAsia="Calibri" w:cs="Calibri"/>
                <w:i/>
                <w:iCs/>
                <w:szCs w:val="24"/>
                <w:lang w:val="en-US"/>
              </w:rPr>
              <w:t>Proceedings of the 18th International Conference on Embedded Computer Systems: Architectures, Modeling, and Simulation</w:t>
            </w:r>
            <w:r w:rsidRPr="62CEFCF0">
              <w:rPr>
                <w:rFonts w:eastAsia="Calibri" w:cs="Calibri"/>
                <w:szCs w:val="24"/>
                <w:lang w:val="en-US"/>
              </w:rPr>
              <w:t xml:space="preserve"> 105–114 (2018).</w:t>
            </w:r>
          </w:p>
          <w:p w14:paraId="40ABBF11" w14:textId="61147107" w:rsidR="62CEFCF0" w:rsidRDefault="62CEFCF0" w:rsidP="00EA224A">
            <w:pPr>
              <w:spacing w:after="0"/>
              <w:ind w:left="640" w:hanging="640"/>
              <w:jc w:val="both"/>
            </w:pPr>
            <w:r w:rsidRPr="62CEFCF0">
              <w:rPr>
                <w:rFonts w:eastAsia="Calibri" w:cs="Calibri"/>
                <w:szCs w:val="24"/>
                <w:lang w:val="en-US"/>
              </w:rPr>
              <w:t xml:space="preserve">9.        Jafri, S. M. A. H., Hemani, A., Paul, K. &amp; Abbas, N. MOCHA: Morphable Locality and Compression Aware Architecture for Convolutional Neural Networks. in </w:t>
            </w:r>
            <w:r w:rsidRPr="62CEFCF0">
              <w:rPr>
                <w:rFonts w:eastAsia="Calibri" w:cs="Calibri"/>
                <w:i/>
                <w:iCs/>
                <w:szCs w:val="24"/>
                <w:lang w:val="en-US"/>
              </w:rPr>
              <w:t>Proceedings - 2017 IEEE 31st International Parallel and Distributed Processing Symposium, IPDPS 2017</w:t>
            </w:r>
            <w:r w:rsidRPr="62CEFCF0">
              <w:rPr>
                <w:rFonts w:eastAsia="Calibri" w:cs="Calibri"/>
                <w:szCs w:val="24"/>
                <w:lang w:val="en-US"/>
              </w:rPr>
              <w:t xml:space="preserve"> 276–286 (2017). doi:10.1109/IPDPS.2017.59.</w:t>
            </w:r>
          </w:p>
          <w:p w14:paraId="62C413EC" w14:textId="2251638D" w:rsidR="62CEFCF0" w:rsidRDefault="62CEFCF0" w:rsidP="00EA224A">
            <w:pPr>
              <w:spacing w:after="0"/>
              <w:ind w:left="640" w:hanging="640"/>
              <w:jc w:val="both"/>
            </w:pPr>
            <w:r w:rsidRPr="62CEFCF0">
              <w:rPr>
                <w:rFonts w:eastAsia="Calibri" w:cs="Calibri"/>
                <w:szCs w:val="24"/>
                <w:lang w:val="en-US"/>
              </w:rPr>
              <w:t xml:space="preserve">10.      Hemani, A., Jafri, S. M. A. H. &amp; Masoumian, S. Synchoricity and NOCs could make Billion Gate Custom Hardware Centric SOCs Affordable. in </w:t>
            </w:r>
            <w:r w:rsidRPr="62CEFCF0">
              <w:rPr>
                <w:rFonts w:eastAsia="Calibri" w:cs="Calibri"/>
                <w:i/>
                <w:iCs/>
                <w:szCs w:val="24"/>
                <w:lang w:val="en-US"/>
              </w:rPr>
              <w:t>Proceedings of the Eleventh IEEE/ACM International Symposium on Networks-on-Chip - NOCS ’17</w:t>
            </w:r>
            <w:r w:rsidRPr="62CEFCF0">
              <w:rPr>
                <w:rFonts w:eastAsia="Calibri" w:cs="Calibri"/>
                <w:szCs w:val="24"/>
                <w:lang w:val="en-US"/>
              </w:rPr>
              <w:t xml:space="preserve"> 1–10 (ACM Press, 2017). doi:10.1145/3130218.3132339.</w:t>
            </w:r>
          </w:p>
          <w:p w14:paraId="211EF75C" w14:textId="0DAFBB53" w:rsidR="62CEFCF0" w:rsidRDefault="62CEFCF0" w:rsidP="00EA224A">
            <w:pPr>
              <w:spacing w:after="0"/>
              <w:ind w:left="640" w:hanging="640"/>
              <w:jc w:val="both"/>
            </w:pPr>
            <w:r w:rsidRPr="62CEFCF0">
              <w:rPr>
                <w:rFonts w:eastAsia="Calibri" w:cs="Calibri"/>
                <w:szCs w:val="24"/>
                <w:lang w:val="en-US"/>
              </w:rPr>
              <w:t xml:space="preserve">11.      Matsuoka, S. </w:t>
            </w:r>
            <w:r w:rsidRPr="62CEFCF0">
              <w:rPr>
                <w:rFonts w:eastAsia="Calibri" w:cs="Calibri"/>
                <w:i/>
                <w:iCs/>
                <w:szCs w:val="24"/>
                <w:lang w:val="en-US"/>
              </w:rPr>
              <w:t>Fugaku as the Centerpiece of Society5.0 Revolution</w:t>
            </w:r>
            <w:r w:rsidRPr="62CEFCF0">
              <w:rPr>
                <w:rFonts w:eastAsia="Calibri" w:cs="Calibri"/>
                <w:szCs w:val="24"/>
                <w:lang w:val="en-US"/>
              </w:rPr>
              <w:t>.</w:t>
            </w:r>
          </w:p>
          <w:p w14:paraId="3E265CCA" w14:textId="3238E8B2" w:rsidR="62CEFCF0" w:rsidRDefault="62CEFCF0" w:rsidP="00EA224A">
            <w:pPr>
              <w:spacing w:after="0"/>
              <w:ind w:left="640" w:hanging="640"/>
              <w:jc w:val="both"/>
            </w:pPr>
            <w:r w:rsidRPr="62CEFCF0">
              <w:rPr>
                <w:rFonts w:eastAsia="Calibri" w:cs="Calibri"/>
                <w:szCs w:val="24"/>
                <w:lang w:val="en-US"/>
              </w:rPr>
              <w:t xml:space="preserve">12.      Li, S., Farahini, N., Hemani, A., Rosvall, K. &amp; Sander, I. System level synthesis of hardware for DSP applications using pre-characterized function implementations. in </w:t>
            </w:r>
            <w:r w:rsidRPr="62CEFCF0">
              <w:rPr>
                <w:rFonts w:eastAsia="Calibri" w:cs="Calibri"/>
                <w:i/>
                <w:iCs/>
                <w:szCs w:val="24"/>
                <w:lang w:val="en-US"/>
              </w:rPr>
              <w:t>Proceedings of the Ninth IEEE/ACM/IFIP International Conference on Hardware/Software Codesign and System Synthesis (CODES+ISSS)</w:t>
            </w:r>
            <w:r w:rsidRPr="62CEFCF0">
              <w:rPr>
                <w:rFonts w:eastAsia="Calibri" w:cs="Calibri"/>
                <w:szCs w:val="24"/>
                <w:lang w:val="en-US"/>
              </w:rPr>
              <w:t xml:space="preserve"> 16 (IEEE Press, 2013).</w:t>
            </w:r>
          </w:p>
          <w:p w14:paraId="5EC34F77" w14:textId="3C415D84" w:rsidR="62CEFCF0" w:rsidRDefault="62CEFCF0" w:rsidP="49CB27EE">
            <w:pPr>
              <w:spacing w:after="0"/>
            </w:pPr>
          </w:p>
          <w:p w14:paraId="479BE0FE" w14:textId="12671BED" w:rsidR="708C6F57" w:rsidRPr="00D3501C" w:rsidRDefault="492E8A79" w:rsidP="003A09D8">
            <w:pPr>
              <w:pStyle w:val="ListParagraph"/>
              <w:numPr>
                <w:ilvl w:val="0"/>
                <w:numId w:val="1"/>
              </w:numPr>
              <w:jc w:val="center"/>
              <w:rPr>
                <w:rFonts w:ascii="Calibri" w:eastAsia="Calibri" w:hAnsi="Calibri" w:cs="Calibri"/>
                <w:b/>
                <w:bCs/>
                <w:sz w:val="28"/>
                <w:szCs w:val="28"/>
                <w:lang w:val="en-US"/>
              </w:rPr>
            </w:pPr>
            <w:r w:rsidRPr="00D3501C">
              <w:rPr>
                <w:rFonts w:ascii="Calibri" w:eastAsia="Calibri" w:hAnsi="Calibri" w:cs="Calibri"/>
                <w:b/>
                <w:bCs/>
                <w:sz w:val="28"/>
                <w:szCs w:val="28"/>
                <w:lang w:val="en-US"/>
              </w:rPr>
              <w:t xml:space="preserve">ITER-Like Wall in the JET (Joint European Torus) </w:t>
            </w:r>
          </w:p>
          <w:p w14:paraId="48CDA176" w14:textId="7E161C1C" w:rsidR="0B3BBCF7" w:rsidRDefault="0B3BBCF7" w:rsidP="0B3BBCF7">
            <w:pPr>
              <w:spacing w:after="0"/>
              <w:rPr>
                <w:rFonts w:cs="Calibri"/>
                <w:b/>
                <w:bCs/>
              </w:rPr>
            </w:pPr>
          </w:p>
          <w:p w14:paraId="33D32AC2" w14:textId="196AF250" w:rsidR="708C6F57" w:rsidRDefault="0B3BBCF7" w:rsidP="0B3BBCF7">
            <w:pPr>
              <w:spacing w:after="0"/>
              <w:rPr>
                <w:rFonts w:cs="Calibri"/>
              </w:rPr>
            </w:pPr>
            <w:r w:rsidRPr="0B3BBCF7">
              <w:rPr>
                <w:rFonts w:cs="Calibri"/>
                <w:b/>
                <w:bCs/>
              </w:rPr>
              <w:t>Scientific Background</w:t>
            </w:r>
            <w:r w:rsidRPr="0B3BBCF7">
              <w:rPr>
                <w:rFonts w:cs="Calibri"/>
              </w:rPr>
              <w:t xml:space="preserve"> </w:t>
            </w:r>
          </w:p>
          <w:p w14:paraId="5680D83E" w14:textId="2D8D6CED" w:rsidR="708C6F57" w:rsidRDefault="492E8A79" w:rsidP="708C6F57">
            <w:pPr>
              <w:spacing w:after="0"/>
              <w:rPr>
                <w:rFonts w:cs="Calibri"/>
              </w:rPr>
            </w:pPr>
            <w:r w:rsidRPr="492E8A79">
              <w:rPr>
                <w:rFonts w:cs="Calibri"/>
              </w:rPr>
              <w:t xml:space="preserve">A challenge to be resolved for a safe and economic fusion reactor is plasma-wall interaction (PWI), which comprises all processes involved in the exchange of mass and energy between plasma and the surrounding wall. The interaction of the confined plasma with the first wall leads to erosion of wall material in some regions where the power load is greatest and the re-deposition of the material in other regions. An economic consideration is then the lifetime of the most exposed regions. A related safety issue is that tritium fuel can be deposited together with eroded wall materials. In the original ITER design, the first wall material included carbon (carbon fibre composites) in the high-power load regions. However, the PWI research program, where the KTH group has played an important role internationally, has shown that </w:t>
            </w:r>
            <w:r w:rsidRPr="492E8A79">
              <w:rPr>
                <w:rFonts w:cs="Calibri"/>
              </w:rPr>
              <w:lastRenderedPageBreak/>
              <w:t>carbon is susceptible to extensive erosion and fuel retention at levels not acceptable for a safe and economic reactor [1-3]. The conclusion of Ref. [3] comparing carbon and beryllium fluxes was: “An important implication of these observations is that, in a machine with an all beryllium first wall in the main chamber, fuel retention may be significantly reduced due to removal of the carbon source.” This long-term research lead to proposals of selecting two materials for ITER: beryllium (Be) on the main chamber wall (low power load region) and tungsten (W) in the high-power load regions [4,5]. These materials have never been used/tested together in any existing device. Therefore, to achieve conclusive progress in fusion research, the ITER-Like Wall (ILW) Project at the JET tokamak was initiated in 2004 to explore plasma performance and PWI with a full metal wall. The KTH group was responsible for the development of (i) several types of beryllium components [5], and (ii) erosion-deposition diagnostics (EDP) wall probes including so-called first mirrors to perform test for ITER [6]. All milestones and deliverables were completed on time and money.</w:t>
            </w:r>
          </w:p>
          <w:p w14:paraId="3F81EB99" w14:textId="77777777" w:rsidR="708C6F57" w:rsidRDefault="0B3BBCF7" w:rsidP="708C6F57">
            <w:pPr>
              <w:spacing w:after="0"/>
              <w:rPr>
                <w:rFonts w:cs="Calibri"/>
              </w:rPr>
            </w:pPr>
            <w:r w:rsidRPr="0B3BBCF7">
              <w:rPr>
                <w:rFonts w:cs="Calibri"/>
              </w:rPr>
              <w:t>In addition, the extremely high heat loads released during fast transient events make the melting of even refractory metallic plasma-facing components (PFCs) a highly critical issue. The motion of the resulting liquid metal, subject to plasma-induced forces, causes large-scale wall surface deformations and, if unstable, can generate droplets injected into the vessel. The former compromises PFC power handling and could strongly reduce the PFC lifetime, while surviving droplets are considered a major source of small solid dust whose amount is strictly limited by nuclear safety regulations. The KTH group has a world leading role in the theoretical modelling of both phenomena.</w:t>
            </w:r>
          </w:p>
          <w:p w14:paraId="2D3E205D" w14:textId="5BF33C2E" w:rsidR="0B3BBCF7" w:rsidRDefault="0B3BBCF7" w:rsidP="0B3BBCF7">
            <w:pPr>
              <w:spacing w:after="0"/>
              <w:rPr>
                <w:rFonts w:cs="Calibri"/>
              </w:rPr>
            </w:pPr>
          </w:p>
          <w:p w14:paraId="45841643" w14:textId="0E0FFB96" w:rsidR="708C6F57" w:rsidRDefault="0B3BBCF7" w:rsidP="0B3BBCF7">
            <w:pPr>
              <w:spacing w:after="0"/>
              <w:rPr>
                <w:rFonts w:cs="Calibri"/>
              </w:rPr>
            </w:pPr>
            <w:r w:rsidRPr="0B3BBCF7">
              <w:rPr>
                <w:rFonts w:cs="Calibri"/>
                <w:b/>
                <w:bCs/>
              </w:rPr>
              <w:t>Operation of JET with ILW started in 2011 [7]</w:t>
            </w:r>
          </w:p>
          <w:p w14:paraId="7E7E3079" w14:textId="23BEB285" w:rsidR="708C6F57" w:rsidRDefault="0B3BBCF7" w:rsidP="708C6F57">
            <w:pPr>
              <w:spacing w:after="0"/>
              <w:rPr>
                <w:rFonts w:cs="Calibri"/>
              </w:rPr>
            </w:pPr>
            <w:r w:rsidRPr="0B3BBCF7">
              <w:rPr>
                <w:rFonts w:cs="Calibri"/>
              </w:rPr>
              <w:t xml:space="preserve">First campaign was finished in 2012 and material studies started in 2013 [8-15]. Operation with ILW has led to the reduction of fuel inventory by a factor of 15-20 in comparison with the carbon wall. In 2013 a crucial decision has been taken by ITER: complete elimination of carbon wall components and start from Day 1 with beryllium main chamber and tungsten in the divertor [16]. It means saving the cost of one divertor: 300 MEUR. Studies by KTH group at JET on first mirrors may result in a multimillion saving on systems for in-situ mirror cleaning in ITER. The research shows that test molybdenum mirrors installed in the main chamber at ITER retain their optical performance [8,11,17]. It leads to a question regarding complex mirror-cleaning systems in the main chamber: to install them or not. The resignation could save tens of millions of EUR. The issue is under consideration. Since 2014, M. Rubel is Project Leader for the EUROfusion Work Package JET2: Materials for ITER and DEMO – Analyses of materials from JET and monitoring of work carried out in 12 EU material research labs and in a laboratory at International Fusion Research Centre, Rokkasho, Japan. </w:t>
            </w:r>
          </w:p>
          <w:p w14:paraId="4E82A20A" w14:textId="370BFD73" w:rsidR="0B3BBCF7" w:rsidRDefault="0B3BBCF7" w:rsidP="0B3BBCF7">
            <w:pPr>
              <w:spacing w:after="0"/>
              <w:rPr>
                <w:rFonts w:cs="Calibri"/>
              </w:rPr>
            </w:pPr>
          </w:p>
          <w:p w14:paraId="05D55679" w14:textId="147F7D87" w:rsidR="708C6F57" w:rsidRDefault="0B3BBCF7" w:rsidP="0B3BBCF7">
            <w:pPr>
              <w:spacing w:after="0"/>
              <w:rPr>
                <w:rFonts w:cs="Calibri"/>
                <w:b/>
                <w:bCs/>
              </w:rPr>
            </w:pPr>
            <w:r w:rsidRPr="0B3BBCF7">
              <w:rPr>
                <w:rFonts w:cs="Calibri"/>
                <w:b/>
                <w:bCs/>
              </w:rPr>
              <w:t>Modelling for ITER</w:t>
            </w:r>
          </w:p>
          <w:p w14:paraId="28C19DA7" w14:textId="170AFC4F" w:rsidR="708C6F57" w:rsidRDefault="0B3BBCF7" w:rsidP="708C6F57">
            <w:pPr>
              <w:spacing w:after="0"/>
              <w:rPr>
                <w:rFonts w:cs="Calibri"/>
              </w:rPr>
            </w:pPr>
            <w:r w:rsidRPr="0B3BBCF7">
              <w:rPr>
                <w:rFonts w:cs="Calibri"/>
              </w:rPr>
              <w:t xml:space="preserve">The modelling research effort of the KTH group has resulted in the development of two state-of-the-art numerical tools, namely the dust dynamics code MIGRAINe [18,19,20] and the macroscopic melt motion code MEMOS-U [21,22], both based on models that have been tested against dedicated experiments in contemporary machines and employed for predictive ITER studies. To date, MIGRAINe is the only dust transport code equipped to adequately model dust-plasma interactions in the plasma regimes of </w:t>
            </w:r>
            <w:r w:rsidRPr="0B3BBCF7">
              <w:rPr>
                <w:rFonts w:cs="Calibri"/>
              </w:rPr>
              <w:lastRenderedPageBreak/>
              <w:t>the ITER reactor [23]. The MEMOS-U code has been developed from the original MEMOS code (KIT, Germany) by the KTH group under the Implementing Agreement between ITER and KTH [24]. MEMOS-U enables the solution of a macroscopic melt motion model that is designed to produce detailed predictions of reactor wall deformations. Worldwide, it is the only code that is capable of such modelling along with a code developed by Purdue University (USA). The results revealed that liquid metal motion under tokamak relevant scenarios falls under an unexplored novel regime, in which the dynamics are essentially governed by re-solidification [25]. The code has been delivered to the ITER computational cluster and it is presently run by the ITER Experiments &amp; Plasma Operation Section for predictive studies of melt damage on the upper wall panels, with the first results recently published [26].</w:t>
            </w:r>
          </w:p>
          <w:p w14:paraId="7F9D9909" w14:textId="0AF26053" w:rsidR="0B3BBCF7" w:rsidRDefault="0B3BBCF7" w:rsidP="0B3BBCF7">
            <w:pPr>
              <w:spacing w:after="0"/>
              <w:rPr>
                <w:rFonts w:cs="Calibri"/>
              </w:rPr>
            </w:pPr>
          </w:p>
          <w:p w14:paraId="58243003" w14:textId="0446EFD4" w:rsidR="708C6F57" w:rsidRDefault="0B3BBCF7" w:rsidP="708C6F57">
            <w:pPr>
              <w:spacing w:after="0"/>
              <w:rPr>
                <w:rFonts w:cs="Calibri"/>
              </w:rPr>
            </w:pPr>
            <w:r w:rsidRPr="0B3BBCF7">
              <w:rPr>
                <w:rFonts w:cs="Calibri"/>
                <w:b/>
                <w:bCs/>
              </w:rPr>
              <w:t>Beneficiaries</w:t>
            </w:r>
          </w:p>
          <w:p w14:paraId="61C93A9B" w14:textId="77777777" w:rsidR="708C6F57" w:rsidRDefault="0B3BBCF7" w:rsidP="708C6F57">
            <w:pPr>
              <w:spacing w:after="0"/>
              <w:rPr>
                <w:rFonts w:cs="Calibri"/>
              </w:rPr>
            </w:pPr>
            <w:r w:rsidRPr="0B3BBCF7">
              <w:rPr>
                <w:rFonts w:cs="Calibri"/>
                <w:i/>
                <w:iCs/>
              </w:rPr>
              <w:t xml:space="preserve">Immediate: </w:t>
            </w:r>
            <w:r w:rsidRPr="0B3BBCF7">
              <w:rPr>
                <w:rFonts w:cs="Calibri"/>
              </w:rPr>
              <w:t xml:space="preserve">Fusion community having a large-scale fully novel experiment being a test bed for ITER-relevant operation and materials. </w:t>
            </w:r>
          </w:p>
          <w:p w14:paraId="394CD302" w14:textId="77777777" w:rsidR="708C6F57" w:rsidRDefault="0B3BBCF7" w:rsidP="708C6F57">
            <w:pPr>
              <w:spacing w:after="0"/>
              <w:rPr>
                <w:rFonts w:cs="Calibri"/>
              </w:rPr>
            </w:pPr>
            <w:r w:rsidRPr="0B3BBCF7">
              <w:rPr>
                <w:rFonts w:cs="Calibri"/>
                <w:i/>
                <w:iCs/>
              </w:rPr>
              <w:t>ITER and society:</w:t>
            </w:r>
            <w:r w:rsidRPr="0B3BBCF7">
              <w:rPr>
                <w:rFonts w:cs="Calibri"/>
              </w:rPr>
              <w:t xml:space="preserve"> Although previous PWI studies showed that Carbon was unacceptable as a wall material for fusion reactors fuelled with Tritium, the original plan was to start with the well-understood Carbon wall because there was inadequate experience with the all-metal wall. The installation of an all-metal wall device would require a shut-down. The success of the ILW Project (60 MEUR for materials and manpower) saves the cost of 300 MEUR for one ITER divertor. This also means shorter way to commercial fusion with society as the main beneficiary. </w:t>
            </w:r>
          </w:p>
          <w:p w14:paraId="6177D96B" w14:textId="77777777" w:rsidR="708C6F57" w:rsidRDefault="708C6F57" w:rsidP="708C6F57">
            <w:pPr>
              <w:spacing w:after="0"/>
              <w:rPr>
                <w:rFonts w:cs="Calibri"/>
              </w:rPr>
            </w:pPr>
            <w:r w:rsidRPr="708C6F57">
              <w:rPr>
                <w:rFonts w:cs="Calibri"/>
              </w:rPr>
              <w:t>Furthermore, the modelling of macroscopic melt motion and its power handling consequences is essential in the quantification of ITER operation regimes that guarantee the long lifetime of the first wall and divertor but also important in the design of disruption mitigation systems and the development of edge-localized-mode suppression techniques. Finally, reliable dust transport and survivability studies are a key tool employed to ensure operation within the stringent ITER dust safety limits, which when crossed will not only compromise reactor performance but might even lead to public health hazards in case of loss of vacuum/coolant accidents.</w:t>
            </w:r>
          </w:p>
          <w:p w14:paraId="3685778C" w14:textId="77777777" w:rsidR="708C6F57" w:rsidRDefault="708C6F57" w:rsidP="708C6F57">
            <w:pPr>
              <w:spacing w:after="0"/>
              <w:rPr>
                <w:rFonts w:cs="Calibri"/>
              </w:rPr>
            </w:pPr>
            <w:r w:rsidRPr="708C6F57">
              <w:rPr>
                <w:rFonts w:cs="Calibri"/>
              </w:rPr>
              <w:t xml:space="preserve"> </w:t>
            </w:r>
          </w:p>
          <w:p w14:paraId="5772ED59" w14:textId="7F34BEC4" w:rsidR="708C6F57" w:rsidRDefault="0B3BBCF7" w:rsidP="0B3BBCF7">
            <w:pPr>
              <w:spacing w:after="0"/>
              <w:rPr>
                <w:rFonts w:cs="Calibri"/>
                <w:b/>
                <w:bCs/>
              </w:rPr>
            </w:pPr>
            <w:r w:rsidRPr="0B3BBCF7">
              <w:rPr>
                <w:rFonts w:cs="Calibri"/>
                <w:b/>
                <w:bCs/>
              </w:rPr>
              <w:t>References to Impact Case ITER-like wall</w:t>
            </w:r>
          </w:p>
          <w:p w14:paraId="59FE58ED" w14:textId="77777777" w:rsidR="708C6F57" w:rsidRDefault="708C6F57" w:rsidP="708C6F57">
            <w:pPr>
              <w:spacing w:after="0"/>
              <w:rPr>
                <w:rFonts w:cs="Calibri"/>
              </w:rPr>
            </w:pPr>
            <w:r w:rsidRPr="708C6F57">
              <w:rPr>
                <w:rFonts w:cs="Calibri"/>
              </w:rPr>
              <w:t xml:space="preserve">1.J.P. Coad, M. Rubel and C.H. Wu,  J. Nucl. Mater. 241 - 243 (1997) 408 – 413. doi:10.1016/S0022-3115(97)80073-6   </w:t>
            </w:r>
          </w:p>
          <w:p w14:paraId="0FB69FBC" w14:textId="77777777" w:rsidR="708C6F57" w:rsidRDefault="708C6F57" w:rsidP="708C6F57">
            <w:pPr>
              <w:spacing w:after="0"/>
              <w:rPr>
                <w:rFonts w:cs="Calibri"/>
              </w:rPr>
            </w:pPr>
            <w:r w:rsidRPr="708C6F57">
              <w:rPr>
                <w:rFonts w:cs="Calibri"/>
              </w:rPr>
              <w:t xml:space="preserve">2.M. Rubel, P. Wienhold and D. Hildebrandt,  J. Nucl. Mater. 290 – 293 (2001) 473 – 477. doi:10.1016/S0022-3115(00)00583-3 </w:t>
            </w:r>
          </w:p>
          <w:p w14:paraId="5504C53F" w14:textId="77777777" w:rsidR="708C6F57" w:rsidRDefault="708C6F57" w:rsidP="708C6F57">
            <w:pPr>
              <w:spacing w:after="0"/>
              <w:rPr>
                <w:rFonts w:cs="Calibri"/>
              </w:rPr>
            </w:pPr>
            <w:r w:rsidRPr="708C6F57">
              <w:rPr>
                <w:rFonts w:cs="Calibri"/>
              </w:rPr>
              <w:t xml:space="preserve">3.M. Rubel, J.P. Coad, N. Bekris et al., J. Nucl. Mater. 313-316 (2003) 321-326. doi:10.1016/S0022-3115(02)01350-8  </w:t>
            </w:r>
          </w:p>
          <w:p w14:paraId="09648F59" w14:textId="77777777" w:rsidR="708C6F57" w:rsidRDefault="708C6F57" w:rsidP="708C6F57">
            <w:pPr>
              <w:spacing w:after="0"/>
              <w:rPr>
                <w:rFonts w:cs="Calibri"/>
              </w:rPr>
            </w:pPr>
            <w:r w:rsidRPr="708C6F57">
              <w:rPr>
                <w:rFonts w:cs="Calibri"/>
              </w:rPr>
              <w:t>4.G.F. Matthews, P. Edwards, T. Hirai et al., Phys. Scr., T128 (2007) 137-143. doi: 10.1088/0031-8949/2007/T128/027</w:t>
            </w:r>
          </w:p>
          <w:p w14:paraId="6F096AD3" w14:textId="77777777" w:rsidR="708C6F57" w:rsidRDefault="708C6F57" w:rsidP="708C6F57">
            <w:pPr>
              <w:spacing w:after="0"/>
              <w:rPr>
                <w:rFonts w:cs="Calibri"/>
              </w:rPr>
            </w:pPr>
            <w:r w:rsidRPr="708C6F57">
              <w:rPr>
                <w:rFonts w:cs="Calibri"/>
              </w:rPr>
              <w:t>5.H. Maier, T. Hirai, M. Rubel et al., Nucl. Fusion 47(3) (2007) 222-227  10.1088/0029-5515/47/3/009</w:t>
            </w:r>
          </w:p>
          <w:p w14:paraId="3E48C564" w14:textId="77777777" w:rsidR="708C6F57" w:rsidRDefault="708C6F57" w:rsidP="708C6F57">
            <w:pPr>
              <w:spacing w:after="0"/>
              <w:rPr>
                <w:rFonts w:cs="Calibri"/>
              </w:rPr>
            </w:pPr>
            <w:r w:rsidRPr="708C6F57">
              <w:rPr>
                <w:rFonts w:cs="Calibri"/>
              </w:rPr>
              <w:t>6.M. Rubel, J.P. Coad, H.G. Esser et al., J. Nucl. Mater. 438 (2013) S1204-1208  http://dx.doi.org/10.1016/j.jnucmat.2013.01.266</w:t>
            </w:r>
          </w:p>
          <w:p w14:paraId="24A610F2" w14:textId="77777777" w:rsidR="708C6F57" w:rsidRDefault="708C6F57" w:rsidP="708C6F57">
            <w:pPr>
              <w:spacing w:after="0"/>
              <w:rPr>
                <w:rFonts w:cs="Calibri"/>
              </w:rPr>
            </w:pPr>
            <w:r w:rsidRPr="708C6F57">
              <w:rPr>
                <w:rFonts w:cs="Calibri"/>
              </w:rPr>
              <w:t>7.G.F. Matthews, M.Beurskens, S.Brezinsek et al., Phys. Scr. T145 (2011) 014001, doi:10.1088/0031-8949/2011/T145/014001</w:t>
            </w:r>
          </w:p>
          <w:p w14:paraId="7AD1BDD9" w14:textId="77777777" w:rsidR="708C6F57" w:rsidRDefault="708C6F57" w:rsidP="708C6F57">
            <w:pPr>
              <w:spacing w:after="0"/>
              <w:rPr>
                <w:rFonts w:cs="Calibri"/>
              </w:rPr>
            </w:pPr>
            <w:r w:rsidRPr="708C6F57">
              <w:rPr>
                <w:rFonts w:cs="Calibri"/>
              </w:rPr>
              <w:lastRenderedPageBreak/>
              <w:t>8.D. Ivanova, M. Rubel, A. Widdowson et al., Phys. Scr. T159 (2014) 014011. doi:10.1088/0031-8949/2014/T159/014011</w:t>
            </w:r>
          </w:p>
          <w:p w14:paraId="4A98420F" w14:textId="77777777" w:rsidR="708C6F57" w:rsidRDefault="708C6F57" w:rsidP="708C6F57">
            <w:pPr>
              <w:spacing w:after="0"/>
              <w:rPr>
                <w:rFonts w:cs="Calibri"/>
              </w:rPr>
            </w:pPr>
            <w:r w:rsidRPr="708C6F57">
              <w:rPr>
                <w:rFonts w:cs="Calibri"/>
              </w:rPr>
              <w:t>9.A. Widdowson, E. Alves, C. F. Ayres et al., Phys. Scr. T159 (2014)014010. doi:10.1088/0031-8949/2014/T159/014010</w:t>
            </w:r>
          </w:p>
          <w:p w14:paraId="46F9DDCA" w14:textId="77777777" w:rsidR="708C6F57" w:rsidRDefault="708C6F57" w:rsidP="708C6F57">
            <w:pPr>
              <w:spacing w:after="0"/>
              <w:rPr>
                <w:rFonts w:cs="Calibri"/>
              </w:rPr>
            </w:pPr>
            <w:r w:rsidRPr="708C6F57">
              <w:rPr>
                <w:rFonts w:cs="Calibri"/>
              </w:rPr>
              <w:t>10.M. Rubel, E. Alves, S. Brezinsek et al., Nucl. Instr. Meth. B371 (2016) 4-11 doi:10.1016/j.nimb.2015.09.077</w:t>
            </w:r>
          </w:p>
          <w:p w14:paraId="1521427A" w14:textId="77777777" w:rsidR="708C6F57" w:rsidRDefault="708C6F57" w:rsidP="708C6F57">
            <w:pPr>
              <w:spacing w:after="0"/>
              <w:rPr>
                <w:rFonts w:cs="Calibri"/>
                <w:lang w:val="sv-SE"/>
              </w:rPr>
            </w:pPr>
            <w:r w:rsidRPr="708C6F57">
              <w:rPr>
                <w:rFonts w:cs="Calibri"/>
              </w:rPr>
              <w:t xml:space="preserve">11.A. Garcia-Carrasco, P. Petersson, M. Rubel et al., Nucl. </w:t>
            </w:r>
            <w:r w:rsidRPr="708C6F57">
              <w:rPr>
                <w:rFonts w:cs="Calibri"/>
                <w:lang w:val="sv-SE"/>
              </w:rPr>
              <w:t>Mater. Energy 12 (2017) 506-512 http://dx.doi.org/10.1016/j.nme.2016.12.032</w:t>
            </w:r>
          </w:p>
          <w:p w14:paraId="39DF834C" w14:textId="77777777" w:rsidR="708C6F57" w:rsidRDefault="708C6F57" w:rsidP="708C6F57">
            <w:pPr>
              <w:spacing w:after="0"/>
              <w:rPr>
                <w:rFonts w:cs="Calibri"/>
              </w:rPr>
            </w:pPr>
            <w:r w:rsidRPr="708C6F57">
              <w:rPr>
                <w:rFonts w:cs="Calibri"/>
              </w:rPr>
              <w:t>12.S. Brezinsek, A. Widdowson, M. Mayer et al. , Nucl. Fusion 55 (2015) 063021 doi:10.1088/0029-5515/55/6/063021</w:t>
            </w:r>
          </w:p>
          <w:p w14:paraId="4C231FE2" w14:textId="77777777" w:rsidR="708C6F57" w:rsidRDefault="708C6F57" w:rsidP="708C6F57">
            <w:pPr>
              <w:spacing w:after="0"/>
              <w:rPr>
                <w:rFonts w:cs="Calibri"/>
              </w:rPr>
            </w:pPr>
            <w:r w:rsidRPr="708C6F57">
              <w:rPr>
                <w:rFonts w:cs="Calibri"/>
              </w:rPr>
              <w:t>13.A. Baron-Wiechec, E. Fortuna, J. Grzonka, M. Rubel, et al., Nucl. Fusion 55 (2015) 113033, http://stacks.iop.org/0029-5515/55/113033</w:t>
            </w:r>
          </w:p>
          <w:p w14:paraId="089776B5" w14:textId="77777777" w:rsidR="708C6F57" w:rsidRDefault="708C6F57" w:rsidP="708C6F57">
            <w:pPr>
              <w:spacing w:after="0"/>
              <w:rPr>
                <w:rFonts w:cs="Calibri"/>
              </w:rPr>
            </w:pPr>
            <w:r w:rsidRPr="708C6F57">
              <w:rPr>
                <w:rFonts w:cs="Calibri"/>
              </w:rPr>
              <w:t>14.M. Rubel, P. Petersson, Y. Zhou et al., Nucl. Fusion 57 (2017) 066027, https://doi.org/10.1088/1741-4326/aa6864</w:t>
            </w:r>
          </w:p>
          <w:p w14:paraId="4F8F9F15" w14:textId="77777777" w:rsidR="708C6F57" w:rsidRPr="00D3501C" w:rsidRDefault="708C6F57" w:rsidP="708C6F57">
            <w:pPr>
              <w:spacing w:after="0"/>
              <w:rPr>
                <w:rFonts w:cs="Calibri"/>
                <w:lang w:val="sv-SE"/>
              </w:rPr>
            </w:pPr>
            <w:r w:rsidRPr="708C6F57">
              <w:rPr>
                <w:rFonts w:cs="Calibri"/>
              </w:rPr>
              <w:t xml:space="preserve">15.I. Jepu, G.F. Matthews, A. Widdowson, M. Rubel et al., Nucl. </w:t>
            </w:r>
            <w:r w:rsidRPr="00D3501C">
              <w:rPr>
                <w:rFonts w:cs="Calibri"/>
                <w:lang w:val="sv-SE"/>
              </w:rPr>
              <w:t>Fusion 59 (2019) 086009. https://doi.org/10.1088/1741-4326/ab2076</w:t>
            </w:r>
          </w:p>
          <w:p w14:paraId="33A7523A" w14:textId="77777777" w:rsidR="708C6F57" w:rsidRDefault="708C6F57" w:rsidP="708C6F57">
            <w:pPr>
              <w:spacing w:after="0"/>
              <w:rPr>
                <w:rFonts w:cs="Calibri"/>
                <w:lang w:val="sv-SE"/>
              </w:rPr>
            </w:pPr>
            <w:r w:rsidRPr="708C6F57">
              <w:rPr>
                <w:rFonts w:cs="Calibri"/>
                <w:lang w:val="sv-SE"/>
              </w:rPr>
              <w:t xml:space="preserve">16.M. Merola et al, Fusion Eng. Des. 89 (2014) 890 https://doi.org/10.1016/j.fusengdes.2014.01.055 </w:t>
            </w:r>
          </w:p>
          <w:p w14:paraId="521FE101" w14:textId="77777777" w:rsidR="708C6F57" w:rsidRDefault="708C6F57" w:rsidP="708C6F57">
            <w:pPr>
              <w:spacing w:after="0"/>
              <w:rPr>
                <w:rFonts w:cs="Calibri"/>
                <w:lang w:val="sv-SE"/>
              </w:rPr>
            </w:pPr>
            <w:r w:rsidRPr="708C6F57">
              <w:rPr>
                <w:rFonts w:cs="Calibri"/>
              </w:rPr>
              <w:t xml:space="preserve">17.Sunwoo Moon, P. Petersson, M. Rubel et al., Nucl. </w:t>
            </w:r>
            <w:r w:rsidRPr="708C6F57">
              <w:rPr>
                <w:rFonts w:cs="Calibri"/>
                <w:lang w:val="sv-SE"/>
              </w:rPr>
              <w:t xml:space="preserve">Mater. Energy 19 (2019) 59-66 https://doi.org/10.1016/j.nme.2019.02.009 </w:t>
            </w:r>
          </w:p>
          <w:p w14:paraId="608E0CAA" w14:textId="77777777" w:rsidR="708C6F57" w:rsidRDefault="708C6F57" w:rsidP="708C6F57">
            <w:pPr>
              <w:spacing w:after="0"/>
              <w:rPr>
                <w:rFonts w:cs="Calibri"/>
              </w:rPr>
            </w:pPr>
            <w:r w:rsidRPr="708C6F57">
              <w:rPr>
                <w:rFonts w:cs="Calibri"/>
              </w:rPr>
              <w:t>18.S. Ratynskaia, L. Vignitchouk, P. Tolias et al., Nucl. Fusion 53 (2013) 123002, https://doi.org/10.1088/0029-5515/53/12/123002</w:t>
            </w:r>
          </w:p>
          <w:p w14:paraId="29485FC2" w14:textId="77777777" w:rsidR="708C6F57" w:rsidRDefault="708C6F57" w:rsidP="708C6F57">
            <w:pPr>
              <w:spacing w:after="0"/>
              <w:rPr>
                <w:rFonts w:cs="Calibri"/>
              </w:rPr>
            </w:pPr>
            <w:r w:rsidRPr="708C6F57">
              <w:rPr>
                <w:rFonts w:cs="Calibri"/>
              </w:rPr>
              <w:t>19. L. Vignitchouk, P. Tolias and S. Ratynskaia, Plasma Phys. Control. Fusion 56 (2014) 095005, https://doi.org/10.1088/0741-3335/56/9/095005</w:t>
            </w:r>
          </w:p>
          <w:p w14:paraId="4FC98A1C" w14:textId="77777777" w:rsidR="708C6F57" w:rsidRDefault="708C6F57" w:rsidP="708C6F57">
            <w:pPr>
              <w:spacing w:after="0"/>
              <w:rPr>
                <w:rFonts w:cs="Calibri"/>
              </w:rPr>
            </w:pPr>
            <w:r w:rsidRPr="708C6F57">
              <w:rPr>
                <w:rFonts w:cs="Calibri"/>
              </w:rPr>
              <w:t>20.L. Vignitchouk, S. Ratynskaia and P. Tolias, Plasma Phys. Control. Fusion 59 (2017) 104002, https://doi.org/10.1088/1361-6587/aa7c44</w:t>
            </w:r>
          </w:p>
          <w:p w14:paraId="28BDA927" w14:textId="77777777" w:rsidR="708C6F57" w:rsidRDefault="708C6F57" w:rsidP="708C6F57">
            <w:pPr>
              <w:spacing w:after="0"/>
              <w:rPr>
                <w:rFonts w:cs="Calibri"/>
              </w:rPr>
            </w:pPr>
            <w:r w:rsidRPr="708C6F57">
              <w:rPr>
                <w:rFonts w:cs="Calibri"/>
              </w:rPr>
              <w:t>21.E. Thoren, P. Tolias, S. Ratynskaia et al., Nucl. Fusion 58 (2018) 106003. https://doi.org/10.1088/1741-4326/aad247</w:t>
            </w:r>
          </w:p>
          <w:p w14:paraId="6F91BF26" w14:textId="77777777" w:rsidR="708C6F57" w:rsidRPr="00DE7B26" w:rsidRDefault="708C6F57" w:rsidP="708C6F57">
            <w:pPr>
              <w:spacing w:after="0"/>
              <w:rPr>
                <w:rFonts w:cs="Calibri"/>
                <w:lang w:val="sv-SE"/>
              </w:rPr>
            </w:pPr>
            <w:r w:rsidRPr="708C6F57">
              <w:rPr>
                <w:rFonts w:cs="Calibri"/>
              </w:rPr>
              <w:t xml:space="preserve">22.E Thoren, S. Ratynskaia, P. Tolias et al., Nucl. </w:t>
            </w:r>
            <w:r w:rsidRPr="00DE7B26">
              <w:rPr>
                <w:rFonts w:cs="Calibri"/>
                <w:lang w:val="sv-SE"/>
              </w:rPr>
              <w:t>Mater. Energy 17 (2018) 194. https://doi.org/10.1016/j.nme.2018.11.006</w:t>
            </w:r>
          </w:p>
          <w:p w14:paraId="167945FE" w14:textId="77777777" w:rsidR="708C6F57" w:rsidRDefault="708C6F57" w:rsidP="708C6F57">
            <w:pPr>
              <w:spacing w:after="0"/>
              <w:rPr>
                <w:rFonts w:cs="Calibri"/>
              </w:rPr>
            </w:pPr>
            <w:r w:rsidRPr="708C6F57">
              <w:rPr>
                <w:rFonts w:cs="Calibri"/>
              </w:rPr>
              <w:t>23.L. Vignitchouk, S. Ratynskaia, P. Tolias. et al., Nucl. Fusion 58 (2018) 076008. https://doi.org/10.1088/1741-4326/aabeec</w:t>
            </w:r>
          </w:p>
          <w:p w14:paraId="583C9CD5" w14:textId="77777777" w:rsidR="708C6F57" w:rsidRDefault="708C6F57" w:rsidP="708C6F57">
            <w:pPr>
              <w:spacing w:after="0"/>
              <w:rPr>
                <w:rFonts w:cs="Calibri"/>
              </w:rPr>
            </w:pPr>
            <w:r w:rsidRPr="708C6F57">
              <w:rPr>
                <w:rFonts w:cs="Calibri"/>
              </w:rPr>
              <w:t>24.Implementing Agreement No.1 Ref IO/IA/16/4300001384 to the Memorandum of Understanding between The ITER International Fusion Energy Organization and The Royal Institute of Technology, Stockholm (Sweden)</w:t>
            </w:r>
          </w:p>
          <w:p w14:paraId="3771D19E" w14:textId="77777777" w:rsidR="708C6F57" w:rsidRDefault="708C6F57" w:rsidP="708C6F57">
            <w:pPr>
              <w:spacing w:after="0"/>
              <w:rPr>
                <w:rFonts w:cs="Calibri"/>
              </w:rPr>
            </w:pPr>
            <w:r w:rsidRPr="708C6F57">
              <w:rPr>
                <w:rFonts w:cs="Calibri"/>
              </w:rPr>
              <w:t>25.S. Ratynskaia, E. Thoren, P. Tolias et al, Resolidification-controlled melt dynamics under fast transient tokamak plasma loads, (Physical Review Letters submitted 2020).</w:t>
            </w:r>
          </w:p>
          <w:p w14:paraId="72D8D9B6" w14:textId="77777777" w:rsidR="708C6F57" w:rsidRDefault="49CB27EE" w:rsidP="708C6F57">
            <w:pPr>
              <w:spacing w:after="0"/>
              <w:rPr>
                <w:rFonts w:cs="Calibri"/>
              </w:rPr>
            </w:pPr>
            <w:r w:rsidRPr="49CB27EE">
              <w:rPr>
                <w:rFonts w:cs="Calibri"/>
              </w:rPr>
              <w:t>26.J. Coburn, E. Thoren, R. Pitts et al, First wall energy deposition during vertical displacement events on ITER, Phys. Scr. 2020 (accepted manuscript).</w:t>
            </w:r>
          </w:p>
          <w:p w14:paraId="7650FE26" w14:textId="18D1FD61" w:rsidR="49CB27EE" w:rsidRDefault="49CB27EE" w:rsidP="0B3BBCF7">
            <w:pPr>
              <w:spacing w:after="0"/>
              <w:jc w:val="center"/>
              <w:rPr>
                <w:rFonts w:cs="Calibri"/>
                <w:b/>
                <w:bCs/>
                <w:sz w:val="28"/>
                <w:szCs w:val="28"/>
              </w:rPr>
            </w:pPr>
          </w:p>
          <w:p w14:paraId="061BD85B" w14:textId="59917CEE" w:rsidR="0B3BBCF7" w:rsidRDefault="492E8A79" w:rsidP="003A09D8">
            <w:pPr>
              <w:pStyle w:val="ListParagraph"/>
              <w:numPr>
                <w:ilvl w:val="0"/>
                <w:numId w:val="1"/>
              </w:numPr>
              <w:spacing w:line="259" w:lineRule="auto"/>
              <w:jc w:val="center"/>
              <w:rPr>
                <w:rFonts w:ascii="Calibri" w:eastAsia="Calibri" w:hAnsi="Calibri" w:cs="Calibri"/>
                <w:b/>
                <w:bCs/>
                <w:sz w:val="28"/>
                <w:szCs w:val="28"/>
              </w:rPr>
            </w:pPr>
            <w:r w:rsidRPr="492E8A79">
              <w:rPr>
                <w:rFonts w:ascii="Calibri" w:eastAsia="Calibri" w:hAnsi="Calibri" w:cs="Calibri"/>
                <w:b/>
                <w:bCs/>
                <w:sz w:val="28"/>
                <w:szCs w:val="28"/>
              </w:rPr>
              <w:t>Water Drop Lens Antenna</w:t>
            </w:r>
          </w:p>
          <w:p w14:paraId="487C6C87" w14:textId="4D2D72B8" w:rsidR="49CB27EE" w:rsidRDefault="49CB27EE" w:rsidP="49CB27EE">
            <w:pPr>
              <w:spacing w:after="0"/>
              <w:rPr>
                <w:rFonts w:cs="Calibri"/>
              </w:rPr>
            </w:pPr>
          </w:p>
          <w:p w14:paraId="1BAB727A" w14:textId="7543D11E" w:rsidR="49CB27EE" w:rsidRDefault="0B3BBCF7" w:rsidP="49CB27EE">
            <w:pPr>
              <w:spacing w:line="276" w:lineRule="auto"/>
              <w:ind w:firstLine="284"/>
              <w:jc w:val="both"/>
            </w:pPr>
            <w:r w:rsidRPr="0B3BBCF7">
              <w:rPr>
                <w:rFonts w:eastAsia="Calibri" w:cs="Calibri"/>
                <w:szCs w:val="24"/>
                <w:lang w:val="en"/>
              </w:rPr>
              <w:t xml:space="preserve">Our department collaborates on a regular basis with the European Space Agency (ESA) in both space physics and technology. This consolidated collaboration is funded by </w:t>
            </w:r>
            <w:r w:rsidRPr="0B3BBCF7">
              <w:rPr>
                <w:rFonts w:eastAsia="Calibri" w:cs="Calibri"/>
                <w:szCs w:val="24"/>
                <w:lang w:val="en"/>
              </w:rPr>
              <w:lastRenderedPageBreak/>
              <w:t xml:space="preserve">Swedish Research Council (VR) the Swedish Space Agency (SSA) and directly by the ESA, in collaboration with local industry, such as ReQuTech and Forsway. </w:t>
            </w:r>
          </w:p>
          <w:p w14:paraId="75739378" w14:textId="4593DE2A" w:rsidR="49CB27EE" w:rsidRDefault="49CB27EE" w:rsidP="49CB27EE">
            <w:pPr>
              <w:spacing w:line="276" w:lineRule="auto"/>
              <w:ind w:firstLine="284"/>
              <w:jc w:val="both"/>
            </w:pPr>
            <w:r w:rsidRPr="49CB27EE">
              <w:rPr>
                <w:rFonts w:eastAsia="Calibri" w:cs="Calibri"/>
                <w:szCs w:val="24"/>
                <w:lang w:val="en"/>
              </w:rPr>
              <w:t>One of the recent collaborations between KTH and ESA produced remarkable results on the field of lens antennas, in a new concept named “water drop lens”. This technology was demonstrated to possess noteworthy features which are ideal for satellite communications and space exploration. For example, this technology could alleviate the costs of implementation for the new Low Earth Orbit (LEO) satellite constellations in Ku- and Ka-bands for future broadband communications.</w:t>
            </w:r>
          </w:p>
          <w:p w14:paraId="08EDFBEA" w14:textId="61E92887" w:rsidR="49CB27EE" w:rsidRDefault="49CB27EE" w:rsidP="49CB27EE">
            <w:pPr>
              <w:spacing w:line="276" w:lineRule="auto"/>
              <w:ind w:firstLine="284"/>
              <w:jc w:val="both"/>
            </w:pPr>
            <w:r w:rsidRPr="49CB27EE">
              <w:rPr>
                <w:rFonts w:eastAsia="Calibri" w:cs="Calibri"/>
                <w:szCs w:val="24"/>
                <w:lang w:val="en"/>
              </w:rPr>
              <w:t xml:space="preserve">After the publication of the first results on this technology by ESA and KTH, Ericsson AB stated its interest in transferring this knowledge from space technology to ground communications, such as 5G and beyond. In particular, this technology could make millimeter-wave 5G base stations more cost-effective. In 2020, KTH has signed a new project in collaboration with the ESA and Ericsson AB to produce a proof-of-concept. </w:t>
            </w:r>
          </w:p>
          <w:p w14:paraId="4EE7EE06" w14:textId="275161A6" w:rsidR="49CB27EE" w:rsidRDefault="49CB27EE" w:rsidP="49CB27EE">
            <w:pPr>
              <w:spacing w:line="276" w:lineRule="auto"/>
              <w:ind w:firstLine="284"/>
              <w:jc w:val="both"/>
            </w:pPr>
            <w:r w:rsidRPr="49CB27EE">
              <w:rPr>
                <w:rFonts w:eastAsia="Calibri" w:cs="Calibri"/>
                <w:szCs w:val="24"/>
                <w:lang w:val="en"/>
              </w:rPr>
              <w:t>KTH is also exploring to transfer this knowledge to the Swedish automotive industry, The use of water drop lenses could reduce the costs of high-frequency radars in cars, enabling higher accuracy in these systems and leading to smarter cities.</w:t>
            </w:r>
          </w:p>
          <w:p w14:paraId="3B16C079" w14:textId="0051324F" w:rsidR="49CB27EE" w:rsidRDefault="49CB27EE" w:rsidP="49CB27EE">
            <w:pPr>
              <w:spacing w:line="276" w:lineRule="auto"/>
              <w:ind w:firstLine="284"/>
              <w:jc w:val="both"/>
            </w:pPr>
            <w:r w:rsidRPr="49CB27EE">
              <w:rPr>
                <w:rFonts w:eastAsia="Calibri" w:cs="Calibri"/>
                <w:szCs w:val="24"/>
                <w:lang w:val="en"/>
              </w:rPr>
              <w:t>As a proof of the impact of our research in this specific topic, our work on the “water drop lens” was selected in January 2020 as the technological image of the week by the ESA. One of the prototypes designed in collaboration between KTH and ESA was advertised in Twitter</w:t>
            </w:r>
            <w:hyperlink r:id="rId56" w:anchor="_ftn1">
              <w:r w:rsidRPr="49CB27EE">
                <w:rPr>
                  <w:rStyle w:val="Hyperlink"/>
                  <w:rFonts w:eastAsia="Calibri" w:cs="Calibri"/>
                  <w:color w:val="0563C1"/>
                  <w:szCs w:val="24"/>
                  <w:vertAlign w:val="superscript"/>
                  <w:lang w:val="en"/>
                </w:rPr>
                <w:t>[1]</w:t>
              </w:r>
            </w:hyperlink>
            <w:r w:rsidRPr="49CB27EE">
              <w:rPr>
                <w:rFonts w:eastAsia="Calibri" w:cs="Calibri"/>
                <w:color w:val="0563C1"/>
                <w:szCs w:val="24"/>
                <w:u w:val="single"/>
                <w:vertAlign w:val="superscript"/>
                <w:lang w:val="en"/>
              </w:rPr>
              <w:t>, Facebook</w:t>
            </w:r>
            <w:hyperlink r:id="rId57" w:anchor="_ftn2">
              <w:r w:rsidRPr="49CB27EE">
                <w:rPr>
                  <w:rStyle w:val="Hyperlink"/>
                  <w:rFonts w:eastAsia="Calibri" w:cs="Calibri"/>
                  <w:color w:val="0563C1"/>
                  <w:szCs w:val="24"/>
                  <w:vertAlign w:val="superscript"/>
                  <w:lang w:val="en"/>
                </w:rPr>
                <w:t>[2]</w:t>
              </w:r>
            </w:hyperlink>
            <w:r w:rsidRPr="49CB27EE">
              <w:rPr>
                <w:rFonts w:eastAsia="Calibri" w:cs="Calibri"/>
                <w:color w:val="0563C1"/>
                <w:szCs w:val="24"/>
                <w:u w:val="single"/>
                <w:vertAlign w:val="superscript"/>
                <w:lang w:val="en"/>
              </w:rPr>
              <w:t xml:space="preserve"> </w:t>
            </w:r>
            <w:r w:rsidRPr="49CB27EE">
              <w:rPr>
                <w:rFonts w:eastAsia="Calibri" w:cs="Calibri"/>
                <w:szCs w:val="24"/>
                <w:lang w:val="en"/>
              </w:rPr>
              <w:t>and Instagram.</w:t>
            </w:r>
          </w:p>
          <w:p w14:paraId="0C182E96" w14:textId="36558B9D" w:rsidR="49CB27EE" w:rsidRDefault="50F906C4" w:rsidP="49CB27EE">
            <w:pPr>
              <w:spacing w:line="276" w:lineRule="auto"/>
            </w:pPr>
            <w:r w:rsidRPr="50F906C4">
              <w:rPr>
                <w:rFonts w:ascii="Arial" w:eastAsia="Arial" w:hAnsi="Arial" w:cs="Arial"/>
                <w:sz w:val="22"/>
                <w:lang w:val="en"/>
              </w:rPr>
              <w:t xml:space="preserve"> </w:t>
            </w:r>
            <w:r w:rsidR="49CB27EE">
              <w:rPr>
                <w:noProof/>
                <w:lang w:val="sv-SE" w:eastAsia="sv-SE"/>
              </w:rPr>
              <w:drawing>
                <wp:inline distT="0" distB="0" distL="0" distR="0" wp14:anchorId="12178F0C" wp14:editId="2B93A310">
                  <wp:extent cx="2428875" cy="2438400"/>
                  <wp:effectExtent l="0" t="0" r="0" b="0"/>
                  <wp:docPr id="131655890" name="Picture 131655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extLst>
                              <a:ext uri="{28A0092B-C50C-407E-A947-70E740481C1C}">
                                <a14:useLocalDpi xmlns:a14="http://schemas.microsoft.com/office/drawing/2010/main" val="0"/>
                              </a:ext>
                            </a:extLst>
                          </a:blip>
                          <a:stretch>
                            <a:fillRect/>
                          </a:stretch>
                        </pic:blipFill>
                        <pic:spPr>
                          <a:xfrm>
                            <a:off x="0" y="0"/>
                            <a:ext cx="2428875" cy="2438400"/>
                          </a:xfrm>
                          <a:prstGeom prst="rect">
                            <a:avLst/>
                          </a:prstGeom>
                        </pic:spPr>
                      </pic:pic>
                    </a:graphicData>
                  </a:graphic>
                </wp:inline>
              </w:drawing>
            </w:r>
          </w:p>
          <w:p w14:paraId="21BA328E" w14:textId="3C974323" w:rsidR="49CB27EE" w:rsidRDefault="49CB27EE">
            <w:r>
              <w:br/>
            </w:r>
            <w:r>
              <w:br/>
            </w:r>
          </w:p>
          <w:p w14:paraId="19BC4050" w14:textId="10CE4E7A" w:rsidR="49CB27EE" w:rsidRDefault="00AA5BFB" w:rsidP="49CB27EE">
            <w:pPr>
              <w:spacing w:line="276" w:lineRule="auto"/>
              <w:jc w:val="both"/>
            </w:pPr>
            <w:hyperlink r:id="rId59" w:anchor="_ftnref1">
              <w:r w:rsidR="49CB27EE" w:rsidRPr="49CB27EE">
                <w:rPr>
                  <w:rStyle w:val="Hyperlink"/>
                  <w:rFonts w:ascii="Arial" w:eastAsia="Arial" w:hAnsi="Arial" w:cs="Arial"/>
                  <w:color w:val="0563C1"/>
                  <w:sz w:val="18"/>
                  <w:szCs w:val="18"/>
                  <w:vertAlign w:val="superscript"/>
                  <w:lang w:val="en"/>
                </w:rPr>
                <w:t>[1]</w:t>
              </w:r>
            </w:hyperlink>
            <w:r w:rsidR="49CB27EE" w:rsidRPr="49CB27EE">
              <w:rPr>
                <w:rFonts w:ascii="Arial" w:eastAsia="Arial" w:hAnsi="Arial" w:cs="Arial"/>
                <w:color w:val="0563C1"/>
                <w:sz w:val="18"/>
                <w:szCs w:val="18"/>
                <w:u w:val="single"/>
                <w:vertAlign w:val="superscript"/>
                <w:lang w:val="en"/>
              </w:rPr>
              <w:t xml:space="preserve"> </w:t>
            </w:r>
            <w:hyperlink r:id="rId60">
              <w:r w:rsidR="49CB27EE" w:rsidRPr="49CB27EE">
                <w:rPr>
                  <w:rStyle w:val="Hyperlink"/>
                  <w:rFonts w:ascii="Arial" w:eastAsia="Arial" w:hAnsi="Arial" w:cs="Arial"/>
                  <w:color w:val="1155CC"/>
                  <w:sz w:val="18"/>
                  <w:szCs w:val="18"/>
                  <w:lang w:val="en"/>
                </w:rPr>
                <w:t>https://twitter.com/esa_tech/status/1214829250999717888?lang=en</w:t>
              </w:r>
            </w:hyperlink>
          </w:p>
          <w:p w14:paraId="35088FEE" w14:textId="50B1D491" w:rsidR="49CB27EE" w:rsidRDefault="00AA5BFB" w:rsidP="49CB27EE">
            <w:pPr>
              <w:spacing w:line="276" w:lineRule="auto"/>
            </w:pPr>
            <w:hyperlink r:id="rId61" w:anchor="_ftnref2">
              <w:r w:rsidR="49CB27EE" w:rsidRPr="49CB27EE">
                <w:rPr>
                  <w:rStyle w:val="Hyperlink"/>
                  <w:rFonts w:ascii="Arial" w:eastAsia="Arial" w:hAnsi="Arial" w:cs="Arial"/>
                  <w:color w:val="0563C1"/>
                  <w:sz w:val="18"/>
                  <w:szCs w:val="18"/>
                  <w:vertAlign w:val="superscript"/>
                  <w:lang w:val="en"/>
                </w:rPr>
                <w:t>[2]</w:t>
              </w:r>
            </w:hyperlink>
            <w:r w:rsidR="49CB27EE" w:rsidRPr="49CB27EE">
              <w:rPr>
                <w:rFonts w:ascii="Arial" w:eastAsia="Arial" w:hAnsi="Arial" w:cs="Arial"/>
                <w:color w:val="0563C1"/>
                <w:sz w:val="18"/>
                <w:szCs w:val="18"/>
                <w:u w:val="single"/>
                <w:vertAlign w:val="superscript"/>
                <w:lang w:val="en"/>
              </w:rPr>
              <w:t xml:space="preserve"> </w:t>
            </w:r>
            <w:hyperlink r:id="rId62">
              <w:r w:rsidR="49CB27EE" w:rsidRPr="49CB27EE">
                <w:rPr>
                  <w:rStyle w:val="Hyperlink"/>
                  <w:rFonts w:ascii="Arial" w:eastAsia="Arial" w:hAnsi="Arial" w:cs="Arial"/>
                  <w:color w:val="0563C1"/>
                  <w:sz w:val="18"/>
                  <w:szCs w:val="18"/>
                  <w:lang w:val="en"/>
                </w:rPr>
                <w:t>https://www.facebook.com/EuropeanSpaceAgency/photos/this-novel-water-drop-antenna-waveguide-lens-developed-by-a-researcher-pair-from/10157915387155667/</w:t>
              </w:r>
            </w:hyperlink>
          </w:p>
          <w:p w14:paraId="65FFB0B0" w14:textId="24BBEF0B" w:rsidR="708C6F57" w:rsidRDefault="492E8A79" w:rsidP="0B3BBCF7">
            <w:pPr>
              <w:spacing w:after="0"/>
              <w:jc w:val="center"/>
              <w:rPr>
                <w:rFonts w:eastAsia="Calibri" w:cs="Calibri"/>
                <w:b/>
                <w:bCs/>
                <w:color w:val="555555"/>
                <w:sz w:val="28"/>
                <w:szCs w:val="28"/>
                <w:lang w:val="en-US"/>
              </w:rPr>
            </w:pPr>
            <w:r w:rsidRPr="492E8A79">
              <w:rPr>
                <w:rFonts w:ascii="Arial" w:eastAsia="Arial" w:hAnsi="Arial" w:cs="Arial"/>
                <w:sz w:val="20"/>
                <w:szCs w:val="20"/>
                <w:lang w:val="en"/>
              </w:rPr>
              <w:t xml:space="preserve"> </w:t>
            </w:r>
            <w:r w:rsidR="708C6F57">
              <w:br/>
            </w:r>
            <w:r w:rsidRPr="492E8A79">
              <w:rPr>
                <w:rFonts w:eastAsia="Calibri" w:cs="Calibri"/>
                <w:b/>
                <w:bCs/>
                <w:color w:val="555555"/>
                <w:sz w:val="28"/>
                <w:szCs w:val="28"/>
                <w:lang w:val="en-US"/>
              </w:rPr>
              <w:t>7. Silicon-carbide-based power converters for electrostatic precipitators</w:t>
            </w:r>
          </w:p>
          <w:p w14:paraId="4421DD5E" w14:textId="2B22075C" w:rsidR="0B3BBCF7" w:rsidRDefault="0B3BBCF7" w:rsidP="13264B1B">
            <w:pPr>
              <w:spacing w:after="0"/>
              <w:rPr>
                <w:rFonts w:eastAsia="Calibri" w:cs="Calibri"/>
                <w:b/>
                <w:bCs/>
                <w:szCs w:val="24"/>
                <w:lang w:val="en-US"/>
              </w:rPr>
            </w:pPr>
          </w:p>
          <w:p w14:paraId="79283028" w14:textId="199B0984" w:rsidR="708C6F57" w:rsidRDefault="13264B1B" w:rsidP="13264B1B">
            <w:pPr>
              <w:spacing w:after="0"/>
              <w:rPr>
                <w:rFonts w:eastAsia="Calibri" w:cs="Calibri"/>
                <w:szCs w:val="24"/>
                <w:lang w:val="en-US"/>
              </w:rPr>
            </w:pPr>
            <w:r w:rsidRPr="13264B1B">
              <w:rPr>
                <w:rFonts w:eastAsia="Calibri" w:cs="Calibri"/>
                <w:szCs w:val="24"/>
                <w:lang w:val="en-US"/>
              </w:rPr>
              <w:t xml:space="preserve"> In 2012 the SiC Power Center was established by Acreo Swedish ICT, Swerea KIMAB, and KTH Royal Institute of Technology. With funding from the Swedish Energy Agency and Vinnova a platform for cooperation between industry, research institutes, and academia was established. The center attracted numerous companies within the automotive, energy systems, and power electronics sectors in Sweden, having a common vision to promote the use of SiC power electronics in new, more efficient and more high-performing, power converter designs.</w:t>
            </w:r>
          </w:p>
          <w:p w14:paraId="5BAAD21E" w14:textId="20AD03F7" w:rsidR="708C6F57" w:rsidRDefault="13264B1B" w:rsidP="13264B1B">
            <w:pPr>
              <w:spacing w:after="0"/>
              <w:rPr>
                <w:rFonts w:eastAsia="Calibri" w:cs="Calibri"/>
                <w:szCs w:val="24"/>
                <w:lang w:val="en-US"/>
              </w:rPr>
            </w:pPr>
            <w:r w:rsidRPr="13264B1B">
              <w:rPr>
                <w:rFonts w:eastAsia="Calibri" w:cs="Calibri"/>
                <w:szCs w:val="24"/>
                <w:lang w:val="en-US"/>
              </w:rPr>
              <w:t xml:space="preserve"> The power electronics group at KTH had already established a research co-operation with Alstom Power in Växjö (now General Electric) previously, but the establishment of the SiC Power Center enabled a more sustainable basis for co-operation, mainly through funding of research projects.</w:t>
            </w:r>
          </w:p>
          <w:p w14:paraId="30B96197" w14:textId="29026828" w:rsidR="708C6F57" w:rsidRDefault="13264B1B" w:rsidP="13264B1B">
            <w:pPr>
              <w:spacing w:after="0"/>
              <w:rPr>
                <w:rFonts w:eastAsia="Calibri" w:cs="Calibri"/>
                <w:i/>
                <w:iCs/>
                <w:szCs w:val="24"/>
              </w:rPr>
            </w:pPr>
            <w:r w:rsidRPr="13264B1B">
              <w:rPr>
                <w:rFonts w:eastAsia="Calibri" w:cs="Calibri"/>
                <w:szCs w:val="24"/>
                <w:lang w:val="en-US"/>
              </w:rPr>
              <w:t xml:space="preserve"> The main contact point at Alstom Power, was Dr. Per Ranstad, who recently had defended his PhD at KTH. Per Ranstad was convinced that SiC power electronics could do wonders for the products of his company, and a series of research projects, involving several PhD students at KTH, was lauched. Over the years, a multitude of research questions, ranging from reliability issues to control aspects were covered, founding the basis for a solid design of a new product generation of SiC-based power supplies for electrostatic precipitators. During this time Dr. Per Ranstad was also affiliated faculty at KTH. After a few years of intensive design work at General Electric (previously Alstom) the new product generation was launched in 2019, and is now already in operation in several power plants over the world. This is a good example of how university research can be matched with product development such that new successful product generations can be created. General Electric has formulated their view of this process: </w:t>
            </w:r>
          </w:p>
          <w:p w14:paraId="4AA74401" w14:textId="0A629407" w:rsidR="708C6F57" w:rsidRDefault="13264B1B" w:rsidP="13264B1B">
            <w:pPr>
              <w:spacing w:after="0"/>
              <w:rPr>
                <w:rFonts w:eastAsia="Calibri" w:cs="Calibri"/>
                <w:i/>
                <w:iCs/>
                <w:szCs w:val="24"/>
              </w:rPr>
            </w:pPr>
            <w:r w:rsidRPr="13264B1B">
              <w:rPr>
                <w:rFonts w:eastAsia="Calibri" w:cs="Calibri"/>
                <w:szCs w:val="24"/>
                <w:lang w:val="en-US"/>
              </w:rPr>
              <w:t>“</w:t>
            </w:r>
            <w:r w:rsidRPr="13264B1B">
              <w:rPr>
                <w:rFonts w:eastAsia="Calibri" w:cs="Calibri"/>
                <w:i/>
                <w:iCs/>
                <w:szCs w:val="24"/>
              </w:rPr>
              <w:t>As a result of the joint research performed by GE Steam Power, the WGB Power center and the KTH University, new SiC components have been implemented in GE’s leading technology Switched Integrated Rectifier, a key technology to improve particulate collection efficiency in Electrostatic Precipitators.”</w:t>
            </w:r>
          </w:p>
          <w:p w14:paraId="3900B89B" w14:textId="46C49636" w:rsidR="708C6F57" w:rsidRDefault="708C6F57" w:rsidP="492E8A79">
            <w:pPr>
              <w:spacing w:after="0"/>
              <w:rPr>
                <w:rFonts w:eastAsia="Calibri" w:cs="Calibri"/>
                <w:szCs w:val="24"/>
              </w:rPr>
            </w:pPr>
          </w:p>
          <w:p w14:paraId="2D67E434" w14:textId="2FD1CBB5" w:rsidR="00410D01" w:rsidRDefault="00410D01" w:rsidP="00910D79">
            <w:pPr>
              <w:spacing w:after="0"/>
              <w:rPr>
                <w:rFonts w:eastAsia="Times New Roman" w:cs="Calibri"/>
                <w:szCs w:val="24"/>
              </w:rPr>
            </w:pPr>
          </w:p>
          <w:p w14:paraId="26672E32" w14:textId="7A004244" w:rsidR="00410D01" w:rsidRPr="0044157D" w:rsidRDefault="492E8A79" w:rsidP="00410D01">
            <w:pPr>
              <w:spacing w:after="120"/>
              <w:rPr>
                <w:rFonts w:cs="Calibri"/>
                <w:i/>
                <w:szCs w:val="24"/>
              </w:rPr>
            </w:pPr>
            <w:r w:rsidRPr="492E8A79">
              <w:rPr>
                <w:rFonts w:cs="Calibri"/>
                <w:b/>
                <w:bCs/>
              </w:rPr>
              <w:t>e.</w:t>
            </w:r>
            <w:r w:rsidRPr="492E8A79">
              <w:rPr>
                <w:rFonts w:cs="Calibri"/>
                <w:i/>
                <w:iCs/>
              </w:rPr>
              <w:t xml:space="preserve"> Structure for increased impact </w:t>
            </w:r>
          </w:p>
          <w:p w14:paraId="7E84B7C3" w14:textId="679C600F" w:rsidR="00297CA9" w:rsidRPr="0091335C" w:rsidRDefault="00297CA9" w:rsidP="492E8A79">
            <w:pPr>
              <w:spacing w:after="0"/>
              <w:rPr>
                <w:rFonts w:cs="Calibri"/>
                <w:lang w:val="en-US"/>
              </w:rPr>
            </w:pPr>
            <w:r w:rsidRPr="492E8A79">
              <w:rPr>
                <w:rFonts w:cs="Calibri"/>
                <w:w w:val="105"/>
                <w:lang w:val="en-US"/>
              </w:rPr>
              <w:t xml:space="preserve">The impact of the research in industry applications and knowledge transfer transfer to industry and other stakeholders is rather good, but the apparent visibility in society can be better in several ways. As an initial plan we have the following action items: </w:t>
            </w:r>
          </w:p>
          <w:p w14:paraId="2853A66B" w14:textId="0800E8A5" w:rsidR="00297CA9" w:rsidRPr="0091335C" w:rsidRDefault="492E8A79" w:rsidP="492E8A79">
            <w:pPr>
              <w:spacing w:after="0"/>
              <w:rPr>
                <w:rFonts w:cs="Calibri"/>
                <w:lang w:val="en-US"/>
              </w:rPr>
            </w:pPr>
            <w:r w:rsidRPr="492E8A79">
              <w:rPr>
                <w:rFonts w:cs="Calibri"/>
                <w:lang w:val="en-US"/>
              </w:rPr>
              <w:t xml:space="preserve">Better connection with youths in high-school level, e.g. revive and broaden the Future Friday concept that earlier was arranged at Kista Campus. </w:t>
            </w:r>
          </w:p>
          <w:p w14:paraId="38978A36" w14:textId="47B2EE54" w:rsidR="00297CA9" w:rsidRPr="0091335C" w:rsidRDefault="492E8A79" w:rsidP="492E8A79">
            <w:pPr>
              <w:spacing w:after="0"/>
              <w:rPr>
                <w:rFonts w:cs="Calibri"/>
                <w:lang w:val="en-US"/>
              </w:rPr>
            </w:pPr>
            <w:r w:rsidRPr="492E8A79">
              <w:rPr>
                <w:rFonts w:cs="Calibri"/>
                <w:lang w:val="en-US"/>
              </w:rPr>
              <w:t xml:space="preserve">Plan for discussions with some common activities in connection to House of Science, Tom Tits or Tekniska Museet. </w:t>
            </w:r>
          </w:p>
          <w:p w14:paraId="69281C32" w14:textId="138BBB23" w:rsidR="00297CA9" w:rsidRPr="0091335C" w:rsidRDefault="492E8A79" w:rsidP="492E8A79">
            <w:pPr>
              <w:spacing w:after="0"/>
              <w:rPr>
                <w:rFonts w:cs="Calibri"/>
                <w:lang w:val="en-US"/>
              </w:rPr>
            </w:pPr>
            <w:r w:rsidRPr="492E8A79">
              <w:rPr>
                <w:rFonts w:cs="Calibri"/>
                <w:lang w:val="en-US"/>
              </w:rPr>
              <w:t xml:space="preserve">On a higher level we should enhance our particpation in technical magazines and in other daily news forum. </w:t>
            </w:r>
          </w:p>
          <w:p w14:paraId="712F4960" w14:textId="313AC71D" w:rsidR="00297CA9" w:rsidRPr="0091335C" w:rsidRDefault="492E8A79" w:rsidP="492E8A79">
            <w:pPr>
              <w:spacing w:after="0"/>
              <w:rPr>
                <w:rFonts w:cs="Calibri"/>
                <w:lang w:val="en-US"/>
              </w:rPr>
            </w:pPr>
            <w:r w:rsidRPr="492E8A79">
              <w:rPr>
                <w:rFonts w:cs="Calibri"/>
                <w:lang w:val="en-US"/>
              </w:rPr>
              <w:lastRenderedPageBreak/>
              <w:t xml:space="preserve">More efforts should be put on connecting our activities with start-ups and entrepreneurs. </w:t>
            </w:r>
          </w:p>
          <w:p w14:paraId="541AB93D" w14:textId="0DDD9398" w:rsidR="000D6B05" w:rsidRPr="0044157D" w:rsidRDefault="000D6B05" w:rsidP="49CB27EE">
            <w:pPr>
              <w:spacing w:after="0"/>
              <w:rPr>
                <w:rFonts w:cs="Calibri"/>
              </w:rPr>
            </w:pPr>
          </w:p>
          <w:p w14:paraId="680EB193" w14:textId="154295D6" w:rsidR="000D6B05" w:rsidRPr="0044157D" w:rsidRDefault="000D6B05" w:rsidP="49CB27EE">
            <w:pPr>
              <w:spacing w:after="0"/>
              <w:rPr>
                <w:rFonts w:cs="Calibri"/>
              </w:rPr>
            </w:pPr>
          </w:p>
          <w:p w14:paraId="01D75C91" w14:textId="76418EBA" w:rsidR="000D6B05" w:rsidRPr="0044157D" w:rsidRDefault="000D6B05" w:rsidP="49CB27EE">
            <w:pPr>
              <w:spacing w:after="0"/>
              <w:rPr>
                <w:rFonts w:cs="Calibri"/>
              </w:rPr>
            </w:pPr>
          </w:p>
        </w:tc>
      </w:tr>
      <w:tr w:rsidR="00EA224A" w:rsidRPr="0044157D" w14:paraId="3C5FDF16" w14:textId="77777777" w:rsidTr="50F906C4">
        <w:tc>
          <w:tcPr>
            <w:tcW w:w="8789" w:type="dxa"/>
          </w:tcPr>
          <w:p w14:paraId="02A984FF" w14:textId="77777777" w:rsidR="00EA224A" w:rsidRPr="3AF71CF5" w:rsidRDefault="00EA224A" w:rsidP="00910D79">
            <w:pPr>
              <w:spacing w:after="120"/>
              <w:rPr>
                <w:rFonts w:cs="Calibri"/>
                <w:b/>
                <w:bCs/>
                <w:w w:val="105"/>
              </w:rPr>
            </w:pPr>
          </w:p>
        </w:tc>
      </w:tr>
    </w:tbl>
    <w:p w14:paraId="26BE096C" w14:textId="77777777" w:rsidR="000D6B05" w:rsidRPr="0044157D" w:rsidRDefault="000D6B05" w:rsidP="000D6B05">
      <w:pPr>
        <w:pStyle w:val="BodyText"/>
        <w:spacing w:after="0" w:line="240" w:lineRule="auto"/>
        <w:rPr>
          <w:rFonts w:cs="Calibri"/>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6B05" w:rsidRPr="0044157D" w14:paraId="3208895F" w14:textId="77777777" w:rsidTr="00910D79">
        <w:tc>
          <w:tcPr>
            <w:tcW w:w="8789" w:type="dxa"/>
            <w:shd w:val="clear" w:color="auto" w:fill="D9D9D9" w:themeFill="background1" w:themeFillShade="D9"/>
          </w:tcPr>
          <w:p w14:paraId="637C48FA" w14:textId="5A208453" w:rsidR="000D6B05" w:rsidRPr="0044157D" w:rsidRDefault="004A185D" w:rsidP="00910D79">
            <w:pPr>
              <w:spacing w:after="0"/>
              <w:rPr>
                <w:rStyle w:val="Strong"/>
                <w:rFonts w:cs="Calibri"/>
                <w:szCs w:val="24"/>
              </w:rPr>
            </w:pPr>
            <w:r>
              <w:rPr>
                <w:rFonts w:cs="Calibri"/>
                <w:b/>
                <w:szCs w:val="24"/>
              </w:rPr>
              <w:t>7</w:t>
            </w:r>
            <w:r w:rsidR="000D6B05" w:rsidRPr="0044157D">
              <w:rPr>
                <w:rFonts w:cs="Calibri"/>
                <w:b/>
                <w:szCs w:val="24"/>
              </w:rPr>
              <w:t>. Other</w:t>
            </w:r>
          </w:p>
        </w:tc>
      </w:tr>
      <w:tr w:rsidR="000D6B05" w:rsidRPr="006526B0" w14:paraId="64C20D99" w14:textId="77777777" w:rsidTr="00910D79">
        <w:tc>
          <w:tcPr>
            <w:tcW w:w="8789" w:type="dxa"/>
          </w:tcPr>
          <w:p w14:paraId="0C8AC03B" w14:textId="2C8152D3" w:rsidR="000D6B05" w:rsidRPr="006526B0" w:rsidRDefault="000D6B05" w:rsidP="00910D79">
            <w:pPr>
              <w:spacing w:after="120"/>
              <w:rPr>
                <w:rFonts w:cs="Calibri"/>
                <w:i/>
                <w:szCs w:val="24"/>
              </w:rPr>
            </w:pPr>
            <w:r w:rsidRPr="00687D8A">
              <w:rPr>
                <w:rFonts w:cs="Calibri"/>
                <w:b/>
                <w:szCs w:val="24"/>
              </w:rPr>
              <w:t xml:space="preserve">a. </w:t>
            </w:r>
            <w:r w:rsidRPr="00687D8A">
              <w:rPr>
                <w:rStyle w:val="Heading3Char"/>
                <w:rFonts w:ascii="Calibri" w:eastAsia="Arial" w:hAnsi="Calibri" w:cs="Calibri"/>
                <w:i/>
                <w:szCs w:val="24"/>
              </w:rPr>
              <w:t xml:space="preserve">Specifics that the </w:t>
            </w:r>
            <w:r w:rsidR="003458F5" w:rsidRPr="00687D8A">
              <w:rPr>
                <w:rStyle w:val="Heading3Char"/>
                <w:rFonts w:ascii="Calibri" w:eastAsia="Arial" w:hAnsi="Calibri" w:cs="Calibri"/>
                <w:i/>
                <w:szCs w:val="24"/>
              </w:rPr>
              <w:t>d</w:t>
            </w:r>
            <w:r w:rsidR="003458F5" w:rsidRPr="006526B0">
              <w:rPr>
                <w:rStyle w:val="Heading3Char"/>
                <w:rFonts w:ascii="Calibri" w:eastAsia="Arial" w:hAnsi="Calibri"/>
                <w:i/>
              </w:rPr>
              <w:t>epartment</w:t>
            </w:r>
            <w:r w:rsidRPr="006526B0">
              <w:rPr>
                <w:rStyle w:val="Heading3Char"/>
                <w:rFonts w:ascii="Calibri" w:eastAsia="Arial" w:hAnsi="Calibri" w:cs="Calibri"/>
                <w:i/>
                <w:szCs w:val="24"/>
              </w:rPr>
              <w:t xml:space="preserve"> wishes to mention and describe</w:t>
            </w:r>
            <w:r w:rsidRPr="006526B0">
              <w:rPr>
                <w:rFonts w:cs="Calibri"/>
                <w:i/>
                <w:szCs w:val="24"/>
              </w:rPr>
              <w:t xml:space="preserve"> </w:t>
            </w:r>
          </w:p>
          <w:p w14:paraId="41FD4C2F" w14:textId="785326FD" w:rsidR="000D6B05" w:rsidRPr="006526B0" w:rsidRDefault="000D6B05" w:rsidP="00910D79">
            <w:pPr>
              <w:spacing w:after="0"/>
              <w:rPr>
                <w:rFonts w:cs="Calibri"/>
                <w:szCs w:val="24"/>
              </w:rPr>
            </w:pPr>
            <w:r w:rsidRPr="006526B0">
              <w:rPr>
                <w:rFonts w:cs="Calibri"/>
                <w:szCs w:val="24"/>
              </w:rPr>
              <w:t xml:space="preserve">If the </w:t>
            </w:r>
            <w:r w:rsidR="000D2B4C" w:rsidRPr="006526B0">
              <w:rPr>
                <w:rFonts w:cs="Calibri"/>
                <w:szCs w:val="24"/>
              </w:rPr>
              <w:t>department</w:t>
            </w:r>
            <w:r w:rsidRPr="006526B0">
              <w:rPr>
                <w:rFonts w:cs="Calibri"/>
                <w:szCs w:val="24"/>
              </w:rPr>
              <w:t xml:space="preserve"> wishes to mention anything that has not been covered above, it can be added in this section.</w:t>
            </w:r>
          </w:p>
          <w:p w14:paraId="69866AF4" w14:textId="77777777" w:rsidR="000D6B05" w:rsidRPr="006526B0" w:rsidRDefault="000D6B05" w:rsidP="00910D79">
            <w:pPr>
              <w:spacing w:after="0"/>
              <w:rPr>
                <w:rFonts w:cs="Calibri"/>
                <w:szCs w:val="24"/>
              </w:rPr>
            </w:pPr>
          </w:p>
        </w:tc>
      </w:tr>
    </w:tbl>
    <w:p w14:paraId="03908333" w14:textId="77777777" w:rsidR="000D6B05" w:rsidRPr="006526B0" w:rsidRDefault="000D6B05" w:rsidP="000D6B05">
      <w:pPr>
        <w:spacing w:after="0"/>
        <w:rPr>
          <w:rFonts w:cs="Calibri"/>
          <w:szCs w:val="24"/>
        </w:rPr>
      </w:pPr>
    </w:p>
    <w:bookmarkEnd w:id="0"/>
    <w:p w14:paraId="79E316CC" w14:textId="77777777" w:rsidR="00B91C38" w:rsidRPr="00B91C38" w:rsidRDefault="00B91C38" w:rsidP="001F0C3A">
      <w:pPr>
        <w:spacing w:after="120"/>
        <w:rPr>
          <w:rFonts w:eastAsiaTheme="majorEastAsia" w:cs="Calibri"/>
          <w:b/>
          <w:bCs/>
        </w:rPr>
      </w:pPr>
    </w:p>
    <w:p w14:paraId="0CF1F417" w14:textId="31515639" w:rsidR="00A43DF8" w:rsidRPr="006526B0" w:rsidRDefault="06831449" w:rsidP="003A09D8">
      <w:pPr>
        <w:pStyle w:val="ListParagraph"/>
        <w:numPr>
          <w:ilvl w:val="0"/>
          <w:numId w:val="12"/>
        </w:numPr>
        <w:spacing w:after="120"/>
        <w:ind w:left="357" w:hanging="357"/>
        <w:rPr>
          <w:rFonts w:ascii="Calibri" w:eastAsiaTheme="majorEastAsia" w:hAnsi="Calibri" w:cs="Calibri"/>
          <w:b/>
          <w:bCs/>
        </w:rPr>
      </w:pPr>
      <w:r w:rsidRPr="06831449">
        <w:rPr>
          <w:rFonts w:ascii="Calibri" w:eastAsiaTheme="majorEastAsia" w:hAnsi="Calibri" w:cs="Calibri"/>
          <w:b/>
          <w:bCs/>
          <w:lang w:val="en-GB"/>
        </w:rPr>
        <w:t>POSSIBLE ATTACHMENTS</w:t>
      </w:r>
    </w:p>
    <w:p w14:paraId="6727477D" w14:textId="1952453C" w:rsidR="00A43DF8" w:rsidRPr="006526B0" w:rsidRDefault="00A43DF8">
      <w:pPr>
        <w:spacing w:after="0"/>
        <w:rPr>
          <w:rFonts w:eastAsiaTheme="majorEastAsia" w:cs="Calibri"/>
          <w:szCs w:val="24"/>
        </w:rPr>
      </w:pPr>
      <w:r w:rsidRPr="00687D8A">
        <w:rPr>
          <w:rFonts w:eastAsiaTheme="majorEastAsia" w:cs="Calibri"/>
          <w:szCs w:val="24"/>
        </w:rPr>
        <w:t xml:space="preserve">Relevant material/URL-links formulated succinctly </w:t>
      </w:r>
      <w:r w:rsidR="000926E5" w:rsidRPr="00687D8A">
        <w:rPr>
          <w:rFonts w:eastAsiaTheme="majorEastAsia" w:cs="Calibri"/>
          <w:szCs w:val="24"/>
        </w:rPr>
        <w:t>that</w:t>
      </w:r>
      <w:r w:rsidRPr="006526B0">
        <w:rPr>
          <w:rFonts w:eastAsiaTheme="majorEastAsia" w:cs="Calibri"/>
          <w:szCs w:val="24"/>
        </w:rPr>
        <w:t xml:space="preserve"> support</w:t>
      </w:r>
      <w:r w:rsidR="000926E5" w:rsidRPr="006526B0">
        <w:rPr>
          <w:rFonts w:eastAsiaTheme="majorEastAsia" w:cs="Calibri"/>
          <w:szCs w:val="24"/>
        </w:rPr>
        <w:t xml:space="preserve"> </w:t>
      </w:r>
      <w:r w:rsidRPr="006526B0">
        <w:rPr>
          <w:rFonts w:eastAsiaTheme="majorEastAsia" w:cs="Calibri"/>
          <w:szCs w:val="24"/>
        </w:rPr>
        <w:t>the self-evaluation. No limitation in length, but do not expect panel members to read extensive added material.</w:t>
      </w:r>
    </w:p>
    <w:p w14:paraId="33490425" w14:textId="2DA5B28F" w:rsidR="00A43DF8" w:rsidRDefault="00A43DF8">
      <w:pPr>
        <w:spacing w:after="0"/>
        <w:rPr>
          <w:rFonts w:eastAsiaTheme="majorEastAsia" w:cs="Calibri"/>
          <w:b/>
          <w:bCs/>
          <w:szCs w:val="24"/>
        </w:rPr>
      </w:pPr>
    </w:p>
    <w:p w14:paraId="48BFF157" w14:textId="069A64D6" w:rsidR="004E06F6" w:rsidRPr="004E06F6" w:rsidRDefault="004E06F6" w:rsidP="004E06F6">
      <w:pPr>
        <w:rPr>
          <w:rFonts w:eastAsiaTheme="majorEastAsia" w:cs="Calibri"/>
          <w:szCs w:val="24"/>
        </w:rPr>
      </w:pPr>
    </w:p>
    <w:p w14:paraId="6C1B0B21" w14:textId="6486E354" w:rsidR="004E06F6" w:rsidRPr="004E06F6" w:rsidRDefault="004E06F6" w:rsidP="004E06F6">
      <w:pPr>
        <w:rPr>
          <w:rFonts w:eastAsiaTheme="majorEastAsia" w:cs="Calibri"/>
          <w:szCs w:val="24"/>
        </w:rPr>
      </w:pPr>
    </w:p>
    <w:p w14:paraId="25CBEE8D" w14:textId="1B8B5351" w:rsidR="004E06F6" w:rsidRDefault="004E06F6" w:rsidP="004E06F6">
      <w:pPr>
        <w:rPr>
          <w:rFonts w:eastAsiaTheme="majorEastAsia" w:cs="Calibri"/>
          <w:b/>
          <w:bCs/>
          <w:szCs w:val="24"/>
        </w:rPr>
      </w:pPr>
    </w:p>
    <w:p w14:paraId="4B0817D4" w14:textId="1086EBD9" w:rsidR="004E06F6" w:rsidRPr="004E06F6" w:rsidRDefault="004E06F6" w:rsidP="004E06F6">
      <w:pPr>
        <w:tabs>
          <w:tab w:val="left" w:pos="2179"/>
        </w:tabs>
        <w:rPr>
          <w:rFonts w:eastAsiaTheme="majorEastAsia" w:cs="Calibri"/>
          <w:szCs w:val="24"/>
        </w:rPr>
      </w:pPr>
      <w:r>
        <w:rPr>
          <w:rFonts w:eastAsiaTheme="majorEastAsia" w:cs="Calibri"/>
          <w:szCs w:val="24"/>
        </w:rPr>
        <w:tab/>
      </w:r>
    </w:p>
    <w:sectPr w:rsidR="004E06F6" w:rsidRPr="004E06F6" w:rsidSect="000E5040">
      <w:footerReference w:type="default" r:id="rId63"/>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0E710AA" w16cex:dateUtc="2020-04-21T11:18:21Z"/>
  <w16cex:commentExtensible w16cex:durableId="35B9BB51" w16cex:dateUtc="2020-04-07T12:31:31Z"/>
  <w16cex:commentExtensible w16cex:durableId="5E6DE735" w16cex:dateUtc="2020-04-21T13:52:37Z"/>
  <w16cex:commentExtensible w16cex:durableId="4A325E86" w16cex:dateUtc="2020-04-21T13:35:14Z"/>
  <w16cex:commentExtensible w16cex:durableId="4DA1BAEC" w16cex:dateUtc="2020-04-21T13:27:49Z"/>
  <w16cex:commentExtensible w16cex:durableId="58D06F97" w16cex:dateUtc="2020-04-21T11:18:21Z"/>
  <w16cex:commentExtensible w16cex:durableId="252B18D7" w16cex:dateUtc="2020-04-17T09:02:54.036Z"/>
  <w16cex:commentExtensible w16cex:durableId="222E3DA0" w16cex:dateUtc="2020-04-21T11:18:21Z"/>
</w16cex:commentsExtensible>
</file>

<file path=word/commentsIds.xml><?xml version="1.0" encoding="utf-8"?>
<w16cid:commentsIds xmlns:mc="http://schemas.openxmlformats.org/markup-compatibility/2006" xmlns:w16cid="http://schemas.microsoft.com/office/word/2016/wordml/cid" mc:Ignorable="w16cid">
  <w16cid:commentId w16cid:paraId="27B60225" w16cid:durableId="35B9BB51"/>
  <w16cid:commentId w16cid:paraId="082042AD" w16cid:durableId="252B18D7"/>
  <w16cid:commentId w16cid:paraId="21A6DFAB" w16cid:durableId="00E710AA"/>
  <w16cid:commentId w16cid:paraId="338E660F" w16cid:durableId="58D06F97"/>
  <w16cid:commentId w16cid:paraId="2C99C037" w16cid:durableId="222E3DA0"/>
  <w16cid:commentId w16cid:paraId="65479C54" w16cid:durableId="4DA1BAEC"/>
  <w16cid:commentId w16cid:paraId="3BF1965F" w16cid:durableId="4A325E86"/>
  <w16cid:commentId w16cid:paraId="68C209B6" w16cid:durableId="5E6DE735"/>
  <w16cid:commentId w16cid:paraId="3A00767B" w16cid:durableId="386567AD"/>
  <w16cid:commentId w16cid:paraId="71A092B0" w16cid:durableId="14EB5BA7"/>
  <w16cid:commentId w16cid:paraId="3DC2B439" w16cid:durableId="715EBF22"/>
  <w16cid:commentId w16cid:paraId="34B45BC3" w16cid:durableId="415C5209"/>
  <w16cid:commentId w16cid:paraId="0455ABD9" w16cid:durableId="68E4C635"/>
  <w16cid:commentId w16cid:paraId="77B098BD" w16cid:durableId="0753455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5C930F" w14:textId="77777777" w:rsidR="00AA5BFB" w:rsidRDefault="00AA5BFB" w:rsidP="00AB37AC">
      <w:r>
        <w:separator/>
      </w:r>
    </w:p>
  </w:endnote>
  <w:endnote w:type="continuationSeparator" w:id="0">
    <w:p w14:paraId="77220F59" w14:textId="77777777" w:rsidR="00AA5BFB" w:rsidRDefault="00AA5BFB"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abon">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mnes Medium">
    <w:altName w:val="Cambria"/>
    <w:panose1 w:val="00000000000000000000"/>
    <w:charset w:val="00"/>
    <w:family w:val="roman"/>
    <w:notTrueType/>
    <w:pitch w:val="default"/>
    <w:sig w:usb0="00000003" w:usb1="00000000" w:usb2="00000000" w:usb3="00000000" w:csb0="00000001" w:csb1="00000000"/>
  </w:font>
  <w:font w:name="Omnes Semibold">
    <w:altName w:val="Cambria"/>
    <w:panose1 w:val="00000000000000000000"/>
    <w:charset w:val="00"/>
    <w:family w:val="roman"/>
    <w:notTrueType/>
    <w:pitch w:val="default"/>
    <w:sig w:usb0="00000003" w:usb1="00000000" w:usb2="00000000" w:usb3="00000000" w:csb0="00000001" w:csb1="00000000"/>
  </w:font>
  <w:font w:name="Berlingske Serif Tx">
    <w:altName w:val="Berlingske Serif Tx"/>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8636285"/>
      <w:docPartObj>
        <w:docPartGallery w:val="Page Numbers (Top of Page)"/>
        <w:docPartUnique/>
      </w:docPartObj>
    </w:sdtPr>
    <w:sdtEndPr>
      <w:rPr>
        <w:rFonts w:ascii="Calibri" w:hAnsi="Calibri" w:cs="Calibri"/>
        <w:sz w:val="24"/>
        <w:szCs w:val="24"/>
      </w:rPr>
    </w:sdtEndPr>
    <w:sdtContent>
      <w:p w14:paraId="7B87585E" w14:textId="38E76823" w:rsidR="00377907" w:rsidRPr="00A55657" w:rsidRDefault="00377907" w:rsidP="00A55657">
        <w:pPr>
          <w:pStyle w:val="Footer"/>
          <w:spacing w:after="0" w:line="240" w:lineRule="auto"/>
          <w:jc w:val="center"/>
          <w:rPr>
            <w:rFonts w:ascii="Calibri" w:hAnsi="Calibri" w:cs="Calibri"/>
            <w:sz w:val="24"/>
            <w:szCs w:val="24"/>
          </w:rPr>
        </w:pPr>
        <w:r w:rsidRPr="00687D8A">
          <w:rPr>
            <w:rFonts w:ascii="Calibri" w:hAnsi="Calibri" w:cs="Calibri"/>
            <w:sz w:val="24"/>
            <w:szCs w:val="24"/>
          </w:rPr>
          <w:fldChar w:fldCharType="begin"/>
        </w:r>
        <w:r w:rsidRPr="00687D8A">
          <w:rPr>
            <w:rFonts w:ascii="Calibri" w:hAnsi="Calibri" w:cs="Calibri"/>
            <w:sz w:val="24"/>
            <w:szCs w:val="24"/>
          </w:rPr>
          <w:instrText>PAGE</w:instrText>
        </w:r>
        <w:r w:rsidRPr="00687D8A">
          <w:rPr>
            <w:rFonts w:ascii="Calibri" w:hAnsi="Calibri" w:cs="Calibri"/>
            <w:sz w:val="24"/>
            <w:szCs w:val="24"/>
          </w:rPr>
          <w:fldChar w:fldCharType="separate"/>
        </w:r>
        <w:r w:rsidR="00D5218C">
          <w:rPr>
            <w:rFonts w:ascii="Calibri" w:hAnsi="Calibri" w:cs="Calibri"/>
            <w:noProof/>
            <w:sz w:val="24"/>
            <w:szCs w:val="24"/>
          </w:rPr>
          <w:t>50</w:t>
        </w:r>
        <w:r w:rsidRPr="00687D8A">
          <w:rPr>
            <w:rFonts w:ascii="Calibri" w:hAnsi="Calibri" w:cs="Calibri"/>
            <w:sz w:val="24"/>
            <w:szCs w:val="24"/>
          </w:rPr>
          <w:fldChar w:fldCharType="end"/>
        </w:r>
        <w:r w:rsidRPr="00687D8A">
          <w:rPr>
            <w:rFonts w:ascii="Calibri" w:hAnsi="Calibri" w:cs="Calibri"/>
            <w:sz w:val="24"/>
            <w:szCs w:val="24"/>
          </w:rPr>
          <w:t xml:space="preserve"> </w:t>
        </w:r>
        <w:r w:rsidRPr="00A55657">
          <w:rPr>
            <w:rFonts w:ascii="Calibri" w:hAnsi="Calibri" w:cs="Calibri"/>
            <w:sz w:val="24"/>
            <w:szCs w:val="24"/>
          </w:rPr>
          <w:t>(</w:t>
        </w:r>
        <w:r w:rsidRPr="00A55657">
          <w:rPr>
            <w:rFonts w:ascii="Calibri" w:hAnsi="Calibri" w:cs="Calibri"/>
            <w:bCs/>
            <w:sz w:val="24"/>
            <w:szCs w:val="24"/>
          </w:rPr>
          <w:fldChar w:fldCharType="begin"/>
        </w:r>
        <w:r w:rsidRPr="00A55657">
          <w:rPr>
            <w:rFonts w:ascii="Calibri" w:hAnsi="Calibri" w:cs="Calibri"/>
            <w:bCs/>
            <w:sz w:val="24"/>
            <w:szCs w:val="24"/>
          </w:rPr>
          <w:instrText>NUMPAGES</w:instrText>
        </w:r>
        <w:r w:rsidRPr="00A55657">
          <w:rPr>
            <w:rFonts w:ascii="Calibri" w:hAnsi="Calibri" w:cs="Calibri"/>
            <w:bCs/>
            <w:sz w:val="24"/>
            <w:szCs w:val="24"/>
          </w:rPr>
          <w:fldChar w:fldCharType="separate"/>
        </w:r>
        <w:r w:rsidR="00D5218C">
          <w:rPr>
            <w:rFonts w:ascii="Calibri" w:hAnsi="Calibri" w:cs="Calibri"/>
            <w:bCs/>
            <w:noProof/>
            <w:sz w:val="24"/>
            <w:szCs w:val="24"/>
          </w:rPr>
          <w:t>96</w:t>
        </w:r>
        <w:r w:rsidRPr="00A55657">
          <w:rPr>
            <w:rFonts w:ascii="Calibri" w:hAnsi="Calibri" w:cs="Calibri"/>
            <w:bCs/>
            <w:sz w:val="24"/>
            <w:szCs w:val="24"/>
          </w:rPr>
          <w:fldChar w:fldCharType="end"/>
        </w:r>
        <w:r>
          <w:rPr>
            <w:rFonts w:ascii="Calibri" w:hAnsi="Calibri" w:cs="Calibri"/>
            <w:bCs/>
            <w:sz w:val="24"/>
            <w:szCs w:val="24"/>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2D4E16" w14:textId="77777777" w:rsidR="00AA5BFB" w:rsidRDefault="00AA5BFB" w:rsidP="00AB37AC">
      <w:r>
        <w:separator/>
      </w:r>
    </w:p>
  </w:footnote>
  <w:footnote w:type="continuationSeparator" w:id="0">
    <w:p w14:paraId="2861203F" w14:textId="77777777" w:rsidR="00AA5BFB" w:rsidRDefault="00AA5BFB" w:rsidP="00AB37AC">
      <w:r>
        <w:continuationSeparator/>
      </w:r>
    </w:p>
  </w:footnote>
  <w:footnote w:id="1">
    <w:p w14:paraId="6AB4E655" w14:textId="77777777" w:rsidR="00910C05" w:rsidRPr="00112101" w:rsidRDefault="00910C05" w:rsidP="00910C05">
      <w:pPr>
        <w:pStyle w:val="FootnoteText"/>
        <w:rPr>
          <w:lang w:val="en-US"/>
        </w:rPr>
      </w:pPr>
      <w:r>
        <w:rPr>
          <w:rStyle w:val="FootnoteReference"/>
        </w:rPr>
        <w:footnoteRef/>
      </w:r>
      <w:r>
        <w:t xml:space="preserve"> </w:t>
      </w:r>
      <w:r w:rsidRPr="00112101">
        <w:t xml:space="preserve">Fuso Nerini, Francesco, (2016) Sustainable Energy Access for All : Initial tools to compare technology options and costs. </w:t>
      </w:r>
      <w:r>
        <w:t xml:space="preserve">KTH Doctoral Dissertation: </w:t>
      </w:r>
      <w:r w:rsidRPr="00112101">
        <w:t>ISBN:978-91-7729-073-5</w:t>
      </w:r>
      <w:r>
        <w:t>.</w:t>
      </w:r>
    </w:p>
  </w:footnote>
  <w:footnote w:id="2">
    <w:p w14:paraId="38F53EA5" w14:textId="77777777" w:rsidR="00910C05" w:rsidRPr="00DA71CA" w:rsidRDefault="00910C05" w:rsidP="00910C05">
      <w:pPr>
        <w:pStyle w:val="FootnoteText"/>
        <w:rPr>
          <w:lang w:val="en-US"/>
        </w:rPr>
      </w:pPr>
      <w:r>
        <w:rPr>
          <w:rStyle w:val="FootnoteReference"/>
        </w:rPr>
        <w:footnoteRef/>
      </w:r>
      <w:r>
        <w:t xml:space="preserve"> </w:t>
      </w:r>
      <w:r w:rsidRPr="00112101">
        <w:t xml:space="preserve">Shivakumar, Abhishek, (2018) An analysis of factors influencing renewable energy deployment in the EU’s electricity sector. </w:t>
      </w:r>
      <w:r>
        <w:t>KTH Doctoral Dissertation:</w:t>
      </w:r>
      <w:r w:rsidRPr="00112101">
        <w:t xml:space="preserve"> ISBN:978-91-7729-787-1</w:t>
      </w:r>
    </w:p>
  </w:footnote>
  <w:footnote w:id="3">
    <w:p w14:paraId="33710BC5" w14:textId="77777777" w:rsidR="00910C05" w:rsidRPr="00950645" w:rsidRDefault="00910C05" w:rsidP="00910C05">
      <w:pPr>
        <w:pStyle w:val="FootnoteText"/>
        <w:rPr>
          <w:lang w:val="en-US"/>
        </w:rPr>
      </w:pPr>
      <w:r>
        <w:rPr>
          <w:rStyle w:val="FootnoteReference"/>
        </w:rPr>
        <w:footnoteRef/>
      </w:r>
      <w:r>
        <w:t xml:space="preserve"> </w:t>
      </w:r>
      <w:r w:rsidRPr="00950645">
        <w:t xml:space="preserve">Samavati, Mahrokh, (2018) Design and analysis of solid oxide electrolysis-based systems for synthetic liquid fuels production. </w:t>
      </w:r>
      <w:r>
        <w:t xml:space="preserve">KTH Doctoral Dissertation: </w:t>
      </w:r>
      <w:r w:rsidRPr="00950645">
        <w:t>ISBN:978-91-7729-807-6</w:t>
      </w:r>
    </w:p>
  </w:footnote>
  <w:footnote w:id="4">
    <w:p w14:paraId="12DD5784" w14:textId="77777777" w:rsidR="00910C05" w:rsidRPr="007B379D" w:rsidRDefault="00910C05" w:rsidP="00910C05">
      <w:pPr>
        <w:pStyle w:val="FootnoteText"/>
        <w:rPr>
          <w:lang w:val="en-US"/>
        </w:rPr>
      </w:pPr>
      <w:r>
        <w:rPr>
          <w:rStyle w:val="FootnoteReference"/>
        </w:rPr>
        <w:footnoteRef/>
      </w:r>
      <w:r>
        <w:t xml:space="preserve"> </w:t>
      </w:r>
      <w:r w:rsidRPr="007B379D">
        <w:t xml:space="preserve">Dahlqvist, Johan, (2017) Cavity Purge Flows in High Pressure Turbines. Stockholm:KTH Royal Institute of Technology. </w:t>
      </w:r>
      <w:r>
        <w:t>KTH Dissertation:</w:t>
      </w:r>
      <w:r w:rsidRPr="007B379D">
        <w:t xml:space="preserve"> ISBN:978-91-7729-626-3</w:t>
      </w:r>
    </w:p>
  </w:footnote>
  <w:footnote w:id="5">
    <w:p w14:paraId="5073195A" w14:textId="77777777" w:rsidR="00910C05" w:rsidRPr="007D48F9" w:rsidRDefault="00910C05" w:rsidP="00910C05">
      <w:pPr>
        <w:pStyle w:val="FootnoteText"/>
        <w:rPr>
          <w:lang w:val="en-US"/>
        </w:rPr>
      </w:pPr>
      <w:r>
        <w:rPr>
          <w:rStyle w:val="FootnoteReference"/>
        </w:rPr>
        <w:footnoteRef/>
      </w:r>
      <w:r>
        <w:t xml:space="preserve"> </w:t>
      </w:r>
      <w:r w:rsidRPr="007D48F9">
        <w:t xml:space="preserve">Monzó, Patricia, (2018) Modelling and monitoring thermal response of the ground in borehole fields. KTH </w:t>
      </w:r>
      <w:r>
        <w:t>Doctoral Dissertation:</w:t>
      </w:r>
      <w:r w:rsidRPr="007D48F9">
        <w:t xml:space="preserve"> ISBN:978-91-7729-667-6</w:t>
      </w:r>
    </w:p>
  </w:footnote>
  <w:footnote w:id="6">
    <w:p w14:paraId="6AA06696" w14:textId="77777777" w:rsidR="00910C05" w:rsidRPr="0070173F" w:rsidRDefault="00910C05" w:rsidP="00910C05">
      <w:pPr>
        <w:pStyle w:val="FootnoteText"/>
        <w:rPr>
          <w:lang w:val="sv-SE"/>
        </w:rPr>
      </w:pPr>
      <w:r>
        <w:rPr>
          <w:rStyle w:val="FootnoteReference"/>
        </w:rPr>
        <w:footnoteRef/>
      </w:r>
      <w:r>
        <w:t xml:space="preserve"> </w:t>
      </w:r>
      <w:r w:rsidRPr="0070173F">
        <w:t xml:space="preserve">Fischer, David, (2017) Integrating Heat Pumps into Smart Grids. </w:t>
      </w:r>
      <w:r>
        <w:t>KTH Doctoral Dissertation:</w:t>
      </w:r>
      <w:r w:rsidRPr="0070173F">
        <w:t xml:space="preserve"> ISBN:978-91-7729-503-7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1710CB9"/>
    <w:multiLevelType w:val="hybridMultilevel"/>
    <w:tmpl w:val="912A8AFE"/>
    <w:lvl w:ilvl="0" w:tplc="C298D8B4">
      <w:start w:val="1"/>
      <w:numFmt w:val="bullet"/>
      <w:lvlText w:val=""/>
      <w:lvlJc w:val="left"/>
      <w:pPr>
        <w:ind w:left="720" w:hanging="360"/>
      </w:pPr>
      <w:rPr>
        <w:rFonts w:ascii="Symbol" w:hAnsi="Symbol" w:hint="default"/>
      </w:rPr>
    </w:lvl>
    <w:lvl w:ilvl="1" w:tplc="07A23B3C">
      <w:start w:val="1"/>
      <w:numFmt w:val="bullet"/>
      <w:lvlText w:val="o"/>
      <w:lvlJc w:val="left"/>
      <w:pPr>
        <w:ind w:left="1440" w:hanging="360"/>
      </w:pPr>
      <w:rPr>
        <w:rFonts w:ascii="Courier New" w:hAnsi="Courier New" w:hint="default"/>
      </w:rPr>
    </w:lvl>
    <w:lvl w:ilvl="2" w:tplc="DB586138">
      <w:start w:val="1"/>
      <w:numFmt w:val="bullet"/>
      <w:lvlText w:val=""/>
      <w:lvlJc w:val="left"/>
      <w:pPr>
        <w:ind w:left="2160" w:hanging="360"/>
      </w:pPr>
      <w:rPr>
        <w:rFonts w:ascii="Wingdings" w:hAnsi="Wingdings" w:hint="default"/>
      </w:rPr>
    </w:lvl>
    <w:lvl w:ilvl="3" w:tplc="234EAD0A">
      <w:start w:val="1"/>
      <w:numFmt w:val="bullet"/>
      <w:lvlText w:val=""/>
      <w:lvlJc w:val="left"/>
      <w:pPr>
        <w:ind w:left="2880" w:hanging="360"/>
      </w:pPr>
      <w:rPr>
        <w:rFonts w:ascii="Symbol" w:hAnsi="Symbol" w:hint="default"/>
      </w:rPr>
    </w:lvl>
    <w:lvl w:ilvl="4" w:tplc="094618A6">
      <w:start w:val="1"/>
      <w:numFmt w:val="bullet"/>
      <w:lvlText w:val="o"/>
      <w:lvlJc w:val="left"/>
      <w:pPr>
        <w:ind w:left="3600" w:hanging="360"/>
      </w:pPr>
      <w:rPr>
        <w:rFonts w:ascii="Courier New" w:hAnsi="Courier New" w:hint="default"/>
      </w:rPr>
    </w:lvl>
    <w:lvl w:ilvl="5" w:tplc="DA347878">
      <w:start w:val="1"/>
      <w:numFmt w:val="bullet"/>
      <w:lvlText w:val=""/>
      <w:lvlJc w:val="left"/>
      <w:pPr>
        <w:ind w:left="4320" w:hanging="360"/>
      </w:pPr>
      <w:rPr>
        <w:rFonts w:ascii="Wingdings" w:hAnsi="Wingdings" w:hint="default"/>
      </w:rPr>
    </w:lvl>
    <w:lvl w:ilvl="6" w:tplc="1A046098">
      <w:start w:val="1"/>
      <w:numFmt w:val="bullet"/>
      <w:lvlText w:val=""/>
      <w:lvlJc w:val="left"/>
      <w:pPr>
        <w:ind w:left="5040" w:hanging="360"/>
      </w:pPr>
      <w:rPr>
        <w:rFonts w:ascii="Symbol" w:hAnsi="Symbol" w:hint="default"/>
      </w:rPr>
    </w:lvl>
    <w:lvl w:ilvl="7" w:tplc="26B8A6D8">
      <w:start w:val="1"/>
      <w:numFmt w:val="bullet"/>
      <w:lvlText w:val="o"/>
      <w:lvlJc w:val="left"/>
      <w:pPr>
        <w:ind w:left="5760" w:hanging="360"/>
      </w:pPr>
      <w:rPr>
        <w:rFonts w:ascii="Courier New" w:hAnsi="Courier New" w:hint="default"/>
      </w:rPr>
    </w:lvl>
    <w:lvl w:ilvl="8" w:tplc="44B400A2">
      <w:start w:val="1"/>
      <w:numFmt w:val="bullet"/>
      <w:lvlText w:val=""/>
      <w:lvlJc w:val="left"/>
      <w:pPr>
        <w:ind w:left="6480" w:hanging="360"/>
      </w:pPr>
      <w:rPr>
        <w:rFonts w:ascii="Wingdings" w:hAnsi="Wingdings" w:hint="default"/>
      </w:rPr>
    </w:lvl>
  </w:abstractNum>
  <w:abstractNum w:abstractNumId="2" w15:restartNumberingAfterBreak="0">
    <w:nsid w:val="082F29DB"/>
    <w:multiLevelType w:val="hybridMultilevel"/>
    <w:tmpl w:val="C02047BA"/>
    <w:lvl w:ilvl="0" w:tplc="3A1A6396">
      <w:start w:val="1"/>
      <w:numFmt w:val="bullet"/>
      <w:lvlText w:val=""/>
      <w:lvlJc w:val="left"/>
      <w:pPr>
        <w:ind w:left="720" w:hanging="360"/>
      </w:pPr>
      <w:rPr>
        <w:rFonts w:ascii="Symbol" w:hAnsi="Symbol" w:hint="default"/>
      </w:rPr>
    </w:lvl>
    <w:lvl w:ilvl="1" w:tplc="C87CD5FA">
      <w:start w:val="1"/>
      <w:numFmt w:val="bullet"/>
      <w:lvlText w:val=""/>
      <w:lvlJc w:val="left"/>
      <w:pPr>
        <w:ind w:left="1440" w:hanging="360"/>
      </w:pPr>
      <w:rPr>
        <w:rFonts w:ascii="Symbol" w:hAnsi="Symbol" w:hint="default"/>
      </w:rPr>
    </w:lvl>
    <w:lvl w:ilvl="2" w:tplc="69EE31DA">
      <w:start w:val="1"/>
      <w:numFmt w:val="bullet"/>
      <w:lvlText w:val=""/>
      <w:lvlJc w:val="left"/>
      <w:pPr>
        <w:ind w:left="2160" w:hanging="360"/>
      </w:pPr>
      <w:rPr>
        <w:rFonts w:ascii="Wingdings" w:hAnsi="Wingdings" w:hint="default"/>
      </w:rPr>
    </w:lvl>
    <w:lvl w:ilvl="3" w:tplc="DA0471B4">
      <w:start w:val="1"/>
      <w:numFmt w:val="bullet"/>
      <w:lvlText w:val=""/>
      <w:lvlJc w:val="left"/>
      <w:pPr>
        <w:ind w:left="2880" w:hanging="360"/>
      </w:pPr>
      <w:rPr>
        <w:rFonts w:ascii="Symbol" w:hAnsi="Symbol" w:hint="default"/>
      </w:rPr>
    </w:lvl>
    <w:lvl w:ilvl="4" w:tplc="6650A1CA">
      <w:start w:val="1"/>
      <w:numFmt w:val="bullet"/>
      <w:lvlText w:val="o"/>
      <w:lvlJc w:val="left"/>
      <w:pPr>
        <w:ind w:left="3600" w:hanging="360"/>
      </w:pPr>
      <w:rPr>
        <w:rFonts w:ascii="Courier New" w:hAnsi="Courier New" w:hint="default"/>
      </w:rPr>
    </w:lvl>
    <w:lvl w:ilvl="5" w:tplc="40508742">
      <w:start w:val="1"/>
      <w:numFmt w:val="bullet"/>
      <w:lvlText w:val=""/>
      <w:lvlJc w:val="left"/>
      <w:pPr>
        <w:ind w:left="4320" w:hanging="360"/>
      </w:pPr>
      <w:rPr>
        <w:rFonts w:ascii="Wingdings" w:hAnsi="Wingdings" w:hint="default"/>
      </w:rPr>
    </w:lvl>
    <w:lvl w:ilvl="6" w:tplc="670A6CFE">
      <w:start w:val="1"/>
      <w:numFmt w:val="bullet"/>
      <w:lvlText w:val=""/>
      <w:lvlJc w:val="left"/>
      <w:pPr>
        <w:ind w:left="5040" w:hanging="360"/>
      </w:pPr>
      <w:rPr>
        <w:rFonts w:ascii="Symbol" w:hAnsi="Symbol" w:hint="default"/>
      </w:rPr>
    </w:lvl>
    <w:lvl w:ilvl="7" w:tplc="AE045752">
      <w:start w:val="1"/>
      <w:numFmt w:val="bullet"/>
      <w:lvlText w:val="o"/>
      <w:lvlJc w:val="left"/>
      <w:pPr>
        <w:ind w:left="5760" w:hanging="360"/>
      </w:pPr>
      <w:rPr>
        <w:rFonts w:ascii="Courier New" w:hAnsi="Courier New" w:hint="default"/>
      </w:rPr>
    </w:lvl>
    <w:lvl w:ilvl="8" w:tplc="36CA33D2">
      <w:start w:val="1"/>
      <w:numFmt w:val="bullet"/>
      <w:lvlText w:val=""/>
      <w:lvlJc w:val="left"/>
      <w:pPr>
        <w:ind w:left="6480" w:hanging="360"/>
      </w:pPr>
      <w:rPr>
        <w:rFonts w:ascii="Wingdings" w:hAnsi="Wingdings" w:hint="default"/>
      </w:rPr>
    </w:lvl>
  </w:abstractNum>
  <w:abstractNum w:abstractNumId="3" w15:restartNumberingAfterBreak="0">
    <w:nsid w:val="0836240D"/>
    <w:multiLevelType w:val="hybridMultilevel"/>
    <w:tmpl w:val="FD265F2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085E3369"/>
    <w:multiLevelType w:val="hybridMultilevel"/>
    <w:tmpl w:val="08F4B568"/>
    <w:lvl w:ilvl="0" w:tplc="FCCA6344">
      <w:start w:val="1"/>
      <w:numFmt w:val="bullet"/>
      <w:lvlText w:val=""/>
      <w:lvlJc w:val="left"/>
      <w:pPr>
        <w:ind w:left="720" w:hanging="360"/>
      </w:pPr>
      <w:rPr>
        <w:rFonts w:ascii="Symbol" w:hAnsi="Symbol" w:hint="default"/>
      </w:rPr>
    </w:lvl>
    <w:lvl w:ilvl="1" w:tplc="A22C04B8">
      <w:start w:val="1"/>
      <w:numFmt w:val="bullet"/>
      <w:lvlText w:val="o"/>
      <w:lvlJc w:val="left"/>
      <w:pPr>
        <w:ind w:left="1440" w:hanging="360"/>
      </w:pPr>
      <w:rPr>
        <w:rFonts w:ascii="Courier New" w:hAnsi="Courier New" w:hint="default"/>
      </w:rPr>
    </w:lvl>
    <w:lvl w:ilvl="2" w:tplc="5756DC0E">
      <w:start w:val="1"/>
      <w:numFmt w:val="bullet"/>
      <w:lvlText w:val=""/>
      <w:lvlJc w:val="left"/>
      <w:pPr>
        <w:ind w:left="2160" w:hanging="360"/>
      </w:pPr>
      <w:rPr>
        <w:rFonts w:ascii="Wingdings" w:hAnsi="Wingdings" w:hint="default"/>
      </w:rPr>
    </w:lvl>
    <w:lvl w:ilvl="3" w:tplc="8C4CC3DE">
      <w:start w:val="1"/>
      <w:numFmt w:val="bullet"/>
      <w:lvlText w:val=""/>
      <w:lvlJc w:val="left"/>
      <w:pPr>
        <w:ind w:left="2880" w:hanging="360"/>
      </w:pPr>
      <w:rPr>
        <w:rFonts w:ascii="Symbol" w:hAnsi="Symbol" w:hint="default"/>
      </w:rPr>
    </w:lvl>
    <w:lvl w:ilvl="4" w:tplc="D3EA7A4E">
      <w:start w:val="1"/>
      <w:numFmt w:val="bullet"/>
      <w:lvlText w:val="o"/>
      <w:lvlJc w:val="left"/>
      <w:pPr>
        <w:ind w:left="3600" w:hanging="360"/>
      </w:pPr>
      <w:rPr>
        <w:rFonts w:ascii="Courier New" w:hAnsi="Courier New" w:hint="default"/>
      </w:rPr>
    </w:lvl>
    <w:lvl w:ilvl="5" w:tplc="9A5418BE">
      <w:start w:val="1"/>
      <w:numFmt w:val="bullet"/>
      <w:lvlText w:val=""/>
      <w:lvlJc w:val="left"/>
      <w:pPr>
        <w:ind w:left="4320" w:hanging="360"/>
      </w:pPr>
      <w:rPr>
        <w:rFonts w:ascii="Wingdings" w:hAnsi="Wingdings" w:hint="default"/>
      </w:rPr>
    </w:lvl>
    <w:lvl w:ilvl="6" w:tplc="7978561E">
      <w:start w:val="1"/>
      <w:numFmt w:val="bullet"/>
      <w:lvlText w:val=""/>
      <w:lvlJc w:val="left"/>
      <w:pPr>
        <w:ind w:left="5040" w:hanging="360"/>
      </w:pPr>
      <w:rPr>
        <w:rFonts w:ascii="Symbol" w:hAnsi="Symbol" w:hint="default"/>
      </w:rPr>
    </w:lvl>
    <w:lvl w:ilvl="7" w:tplc="4254DC9C">
      <w:start w:val="1"/>
      <w:numFmt w:val="bullet"/>
      <w:lvlText w:val="o"/>
      <w:lvlJc w:val="left"/>
      <w:pPr>
        <w:ind w:left="5760" w:hanging="360"/>
      </w:pPr>
      <w:rPr>
        <w:rFonts w:ascii="Courier New" w:hAnsi="Courier New" w:hint="default"/>
      </w:rPr>
    </w:lvl>
    <w:lvl w:ilvl="8" w:tplc="E1A2C432">
      <w:start w:val="1"/>
      <w:numFmt w:val="bullet"/>
      <w:lvlText w:val=""/>
      <w:lvlJc w:val="left"/>
      <w:pPr>
        <w:ind w:left="6480" w:hanging="360"/>
      </w:pPr>
      <w:rPr>
        <w:rFonts w:ascii="Wingdings" w:hAnsi="Wingdings" w:hint="default"/>
      </w:rPr>
    </w:lvl>
  </w:abstractNum>
  <w:abstractNum w:abstractNumId="5" w15:restartNumberingAfterBreak="0">
    <w:nsid w:val="0D4B1FBD"/>
    <w:multiLevelType w:val="hybridMultilevel"/>
    <w:tmpl w:val="B24461D0"/>
    <w:lvl w:ilvl="0" w:tplc="4826388C">
      <w:start w:val="1"/>
      <w:numFmt w:val="decimal"/>
      <w:lvlText w:val="%1."/>
      <w:lvlJc w:val="left"/>
      <w:pPr>
        <w:ind w:left="567" w:hanging="567"/>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6" w15:restartNumberingAfterBreak="0">
    <w:nsid w:val="101E122E"/>
    <w:multiLevelType w:val="hybridMultilevel"/>
    <w:tmpl w:val="3F8C5E82"/>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11E703E9"/>
    <w:multiLevelType w:val="hybridMultilevel"/>
    <w:tmpl w:val="B7A0F43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12BC6B86"/>
    <w:multiLevelType w:val="hybridMultilevel"/>
    <w:tmpl w:val="86B42858"/>
    <w:lvl w:ilvl="0" w:tplc="2B2A5828">
      <w:start w:val="1"/>
      <w:numFmt w:val="bullet"/>
      <w:lvlText w:val=""/>
      <w:lvlJc w:val="left"/>
      <w:pPr>
        <w:ind w:left="720" w:hanging="360"/>
      </w:pPr>
      <w:rPr>
        <w:rFonts w:ascii="Symbol" w:hAnsi="Symbol" w:hint="default"/>
      </w:rPr>
    </w:lvl>
    <w:lvl w:ilvl="1" w:tplc="75745F86">
      <w:start w:val="1"/>
      <w:numFmt w:val="bullet"/>
      <w:lvlText w:val="o"/>
      <w:lvlJc w:val="left"/>
      <w:pPr>
        <w:ind w:left="1440" w:hanging="360"/>
      </w:pPr>
      <w:rPr>
        <w:rFonts w:ascii="Courier New" w:hAnsi="Courier New" w:hint="default"/>
      </w:rPr>
    </w:lvl>
    <w:lvl w:ilvl="2" w:tplc="FFFCF722">
      <w:start w:val="1"/>
      <w:numFmt w:val="bullet"/>
      <w:lvlText w:val=""/>
      <w:lvlJc w:val="left"/>
      <w:pPr>
        <w:ind w:left="2160" w:hanging="360"/>
      </w:pPr>
      <w:rPr>
        <w:rFonts w:ascii="Wingdings" w:hAnsi="Wingdings" w:hint="default"/>
      </w:rPr>
    </w:lvl>
    <w:lvl w:ilvl="3" w:tplc="8C5C1080">
      <w:start w:val="1"/>
      <w:numFmt w:val="bullet"/>
      <w:lvlText w:val=""/>
      <w:lvlJc w:val="left"/>
      <w:pPr>
        <w:ind w:left="2880" w:hanging="360"/>
      </w:pPr>
      <w:rPr>
        <w:rFonts w:ascii="Symbol" w:hAnsi="Symbol" w:hint="default"/>
      </w:rPr>
    </w:lvl>
    <w:lvl w:ilvl="4" w:tplc="65FE4632">
      <w:start w:val="1"/>
      <w:numFmt w:val="bullet"/>
      <w:lvlText w:val="o"/>
      <w:lvlJc w:val="left"/>
      <w:pPr>
        <w:ind w:left="3600" w:hanging="360"/>
      </w:pPr>
      <w:rPr>
        <w:rFonts w:ascii="Courier New" w:hAnsi="Courier New" w:hint="default"/>
      </w:rPr>
    </w:lvl>
    <w:lvl w:ilvl="5" w:tplc="8008440C">
      <w:start w:val="1"/>
      <w:numFmt w:val="bullet"/>
      <w:lvlText w:val=""/>
      <w:lvlJc w:val="left"/>
      <w:pPr>
        <w:ind w:left="4320" w:hanging="360"/>
      </w:pPr>
      <w:rPr>
        <w:rFonts w:ascii="Wingdings" w:hAnsi="Wingdings" w:hint="default"/>
      </w:rPr>
    </w:lvl>
    <w:lvl w:ilvl="6" w:tplc="068EE81C">
      <w:start w:val="1"/>
      <w:numFmt w:val="bullet"/>
      <w:lvlText w:val=""/>
      <w:lvlJc w:val="left"/>
      <w:pPr>
        <w:ind w:left="5040" w:hanging="360"/>
      </w:pPr>
      <w:rPr>
        <w:rFonts w:ascii="Symbol" w:hAnsi="Symbol" w:hint="default"/>
      </w:rPr>
    </w:lvl>
    <w:lvl w:ilvl="7" w:tplc="FB0824A6">
      <w:start w:val="1"/>
      <w:numFmt w:val="bullet"/>
      <w:lvlText w:val="o"/>
      <w:lvlJc w:val="left"/>
      <w:pPr>
        <w:ind w:left="5760" w:hanging="360"/>
      </w:pPr>
      <w:rPr>
        <w:rFonts w:ascii="Courier New" w:hAnsi="Courier New" w:hint="default"/>
      </w:rPr>
    </w:lvl>
    <w:lvl w:ilvl="8" w:tplc="6CC40B0C">
      <w:start w:val="1"/>
      <w:numFmt w:val="bullet"/>
      <w:lvlText w:val=""/>
      <w:lvlJc w:val="left"/>
      <w:pPr>
        <w:ind w:left="6480" w:hanging="360"/>
      </w:pPr>
      <w:rPr>
        <w:rFonts w:ascii="Wingdings" w:hAnsi="Wingdings" w:hint="default"/>
      </w:rPr>
    </w:lvl>
  </w:abstractNum>
  <w:abstractNum w:abstractNumId="9" w15:restartNumberingAfterBreak="0">
    <w:nsid w:val="16FE3E99"/>
    <w:multiLevelType w:val="hybridMultilevel"/>
    <w:tmpl w:val="805EFB4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17D62E96"/>
    <w:multiLevelType w:val="hybridMultilevel"/>
    <w:tmpl w:val="B36E21D6"/>
    <w:lvl w:ilvl="0" w:tplc="55B6A30A">
      <w:start w:val="1"/>
      <w:numFmt w:val="decimal"/>
      <w:lvlText w:val="%1."/>
      <w:lvlJc w:val="left"/>
      <w:pPr>
        <w:ind w:left="720" w:hanging="360"/>
      </w:pPr>
    </w:lvl>
    <w:lvl w:ilvl="1" w:tplc="4C1C50C6">
      <w:start w:val="1"/>
      <w:numFmt w:val="lowerLetter"/>
      <w:lvlText w:val="%2."/>
      <w:lvlJc w:val="left"/>
      <w:pPr>
        <w:ind w:left="1440" w:hanging="360"/>
      </w:pPr>
    </w:lvl>
    <w:lvl w:ilvl="2" w:tplc="0A48D1E8">
      <w:start w:val="1"/>
      <w:numFmt w:val="lowerRoman"/>
      <w:lvlText w:val="%3."/>
      <w:lvlJc w:val="right"/>
      <w:pPr>
        <w:ind w:left="2160" w:hanging="180"/>
      </w:pPr>
    </w:lvl>
    <w:lvl w:ilvl="3" w:tplc="41A265AE">
      <w:start w:val="1"/>
      <w:numFmt w:val="decimal"/>
      <w:lvlText w:val="%4."/>
      <w:lvlJc w:val="left"/>
      <w:pPr>
        <w:ind w:left="2880" w:hanging="360"/>
      </w:pPr>
    </w:lvl>
    <w:lvl w:ilvl="4" w:tplc="4DA88F2C">
      <w:start w:val="1"/>
      <w:numFmt w:val="lowerLetter"/>
      <w:lvlText w:val="%5."/>
      <w:lvlJc w:val="left"/>
      <w:pPr>
        <w:ind w:left="3600" w:hanging="360"/>
      </w:pPr>
    </w:lvl>
    <w:lvl w:ilvl="5" w:tplc="1AF8F1E8">
      <w:start w:val="1"/>
      <w:numFmt w:val="lowerRoman"/>
      <w:lvlText w:val="%6."/>
      <w:lvlJc w:val="right"/>
      <w:pPr>
        <w:ind w:left="4320" w:hanging="180"/>
      </w:pPr>
    </w:lvl>
    <w:lvl w:ilvl="6" w:tplc="09AC5DBC">
      <w:start w:val="1"/>
      <w:numFmt w:val="decimal"/>
      <w:lvlText w:val="%7."/>
      <w:lvlJc w:val="left"/>
      <w:pPr>
        <w:ind w:left="5040" w:hanging="360"/>
      </w:pPr>
    </w:lvl>
    <w:lvl w:ilvl="7" w:tplc="5FAA66B6">
      <w:start w:val="1"/>
      <w:numFmt w:val="lowerLetter"/>
      <w:lvlText w:val="%8."/>
      <w:lvlJc w:val="left"/>
      <w:pPr>
        <w:ind w:left="5760" w:hanging="360"/>
      </w:pPr>
    </w:lvl>
    <w:lvl w:ilvl="8" w:tplc="E36AD698">
      <w:start w:val="1"/>
      <w:numFmt w:val="lowerRoman"/>
      <w:lvlText w:val="%9."/>
      <w:lvlJc w:val="right"/>
      <w:pPr>
        <w:ind w:left="6480" w:hanging="180"/>
      </w:pPr>
    </w:lvl>
  </w:abstractNum>
  <w:abstractNum w:abstractNumId="11" w15:restartNumberingAfterBreak="0">
    <w:nsid w:val="18DB3D7D"/>
    <w:multiLevelType w:val="hybridMultilevel"/>
    <w:tmpl w:val="3F6A2F3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1D980644"/>
    <w:multiLevelType w:val="hybridMultilevel"/>
    <w:tmpl w:val="3AEE351A"/>
    <w:lvl w:ilvl="0" w:tplc="ED08CD90">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3" w15:restartNumberingAfterBreak="0">
    <w:nsid w:val="1E13764C"/>
    <w:multiLevelType w:val="hybridMultilevel"/>
    <w:tmpl w:val="1F0A0286"/>
    <w:lvl w:ilvl="0" w:tplc="393E8326">
      <w:start w:val="1"/>
      <w:numFmt w:val="bullet"/>
      <w:lvlText w:val=""/>
      <w:lvlJc w:val="left"/>
      <w:pPr>
        <w:ind w:left="720" w:hanging="360"/>
      </w:pPr>
      <w:rPr>
        <w:rFonts w:ascii="Symbol" w:hAnsi="Symbol" w:hint="default"/>
      </w:rPr>
    </w:lvl>
    <w:lvl w:ilvl="1" w:tplc="B37AF2A0">
      <w:start w:val="1"/>
      <w:numFmt w:val="bullet"/>
      <w:lvlText w:val="o"/>
      <w:lvlJc w:val="left"/>
      <w:pPr>
        <w:ind w:left="1440" w:hanging="360"/>
      </w:pPr>
      <w:rPr>
        <w:rFonts w:ascii="Courier New" w:hAnsi="Courier New" w:hint="default"/>
      </w:rPr>
    </w:lvl>
    <w:lvl w:ilvl="2" w:tplc="A9C43764">
      <w:start w:val="1"/>
      <w:numFmt w:val="bullet"/>
      <w:lvlText w:val=""/>
      <w:lvlJc w:val="left"/>
      <w:pPr>
        <w:ind w:left="2160" w:hanging="360"/>
      </w:pPr>
      <w:rPr>
        <w:rFonts w:ascii="Wingdings" w:hAnsi="Wingdings" w:hint="default"/>
      </w:rPr>
    </w:lvl>
    <w:lvl w:ilvl="3" w:tplc="7C36BC28">
      <w:start w:val="1"/>
      <w:numFmt w:val="bullet"/>
      <w:lvlText w:val=""/>
      <w:lvlJc w:val="left"/>
      <w:pPr>
        <w:ind w:left="2880" w:hanging="360"/>
      </w:pPr>
      <w:rPr>
        <w:rFonts w:ascii="Symbol" w:hAnsi="Symbol" w:hint="default"/>
      </w:rPr>
    </w:lvl>
    <w:lvl w:ilvl="4" w:tplc="D3FE35FE">
      <w:start w:val="1"/>
      <w:numFmt w:val="bullet"/>
      <w:lvlText w:val="o"/>
      <w:lvlJc w:val="left"/>
      <w:pPr>
        <w:ind w:left="3600" w:hanging="360"/>
      </w:pPr>
      <w:rPr>
        <w:rFonts w:ascii="Courier New" w:hAnsi="Courier New" w:hint="default"/>
      </w:rPr>
    </w:lvl>
    <w:lvl w:ilvl="5" w:tplc="D2E07448">
      <w:start w:val="1"/>
      <w:numFmt w:val="bullet"/>
      <w:lvlText w:val=""/>
      <w:lvlJc w:val="left"/>
      <w:pPr>
        <w:ind w:left="4320" w:hanging="360"/>
      </w:pPr>
      <w:rPr>
        <w:rFonts w:ascii="Wingdings" w:hAnsi="Wingdings" w:hint="default"/>
      </w:rPr>
    </w:lvl>
    <w:lvl w:ilvl="6" w:tplc="4A586268">
      <w:start w:val="1"/>
      <w:numFmt w:val="bullet"/>
      <w:lvlText w:val=""/>
      <w:lvlJc w:val="left"/>
      <w:pPr>
        <w:ind w:left="5040" w:hanging="360"/>
      </w:pPr>
      <w:rPr>
        <w:rFonts w:ascii="Symbol" w:hAnsi="Symbol" w:hint="default"/>
      </w:rPr>
    </w:lvl>
    <w:lvl w:ilvl="7" w:tplc="992486D4">
      <w:start w:val="1"/>
      <w:numFmt w:val="bullet"/>
      <w:lvlText w:val="o"/>
      <w:lvlJc w:val="left"/>
      <w:pPr>
        <w:ind w:left="5760" w:hanging="360"/>
      </w:pPr>
      <w:rPr>
        <w:rFonts w:ascii="Courier New" w:hAnsi="Courier New" w:hint="default"/>
      </w:rPr>
    </w:lvl>
    <w:lvl w:ilvl="8" w:tplc="F86275CE">
      <w:start w:val="1"/>
      <w:numFmt w:val="bullet"/>
      <w:lvlText w:val=""/>
      <w:lvlJc w:val="left"/>
      <w:pPr>
        <w:ind w:left="6480" w:hanging="360"/>
      </w:pPr>
      <w:rPr>
        <w:rFonts w:ascii="Wingdings" w:hAnsi="Wingdings" w:hint="default"/>
      </w:rPr>
    </w:lvl>
  </w:abstractNum>
  <w:abstractNum w:abstractNumId="14" w15:restartNumberingAfterBreak="0">
    <w:nsid w:val="1EF67C66"/>
    <w:multiLevelType w:val="hybridMultilevel"/>
    <w:tmpl w:val="6A56E768"/>
    <w:lvl w:ilvl="0" w:tplc="249852DE">
      <w:start w:val="1"/>
      <w:numFmt w:val="bullet"/>
      <w:lvlText w:val=""/>
      <w:lvlJc w:val="left"/>
      <w:pPr>
        <w:ind w:left="720" w:hanging="360"/>
      </w:pPr>
      <w:rPr>
        <w:rFonts w:ascii="Symbol" w:hAnsi="Symbol" w:hint="default"/>
      </w:rPr>
    </w:lvl>
    <w:lvl w:ilvl="1" w:tplc="73AC0CF8">
      <w:start w:val="1"/>
      <w:numFmt w:val="bullet"/>
      <w:lvlText w:val="o"/>
      <w:lvlJc w:val="left"/>
      <w:pPr>
        <w:ind w:left="1440" w:hanging="360"/>
      </w:pPr>
      <w:rPr>
        <w:rFonts w:ascii="Courier New" w:hAnsi="Courier New" w:hint="default"/>
      </w:rPr>
    </w:lvl>
    <w:lvl w:ilvl="2" w:tplc="F66E722A">
      <w:start w:val="1"/>
      <w:numFmt w:val="bullet"/>
      <w:lvlText w:val=""/>
      <w:lvlJc w:val="left"/>
      <w:pPr>
        <w:ind w:left="2160" w:hanging="360"/>
      </w:pPr>
      <w:rPr>
        <w:rFonts w:ascii="Wingdings" w:hAnsi="Wingdings" w:hint="default"/>
      </w:rPr>
    </w:lvl>
    <w:lvl w:ilvl="3" w:tplc="21F8AE9E">
      <w:start w:val="1"/>
      <w:numFmt w:val="bullet"/>
      <w:lvlText w:val=""/>
      <w:lvlJc w:val="left"/>
      <w:pPr>
        <w:ind w:left="2880" w:hanging="360"/>
      </w:pPr>
      <w:rPr>
        <w:rFonts w:ascii="Symbol" w:hAnsi="Symbol" w:hint="default"/>
      </w:rPr>
    </w:lvl>
    <w:lvl w:ilvl="4" w:tplc="923EC034">
      <w:start w:val="1"/>
      <w:numFmt w:val="bullet"/>
      <w:lvlText w:val="o"/>
      <w:lvlJc w:val="left"/>
      <w:pPr>
        <w:ind w:left="3600" w:hanging="360"/>
      </w:pPr>
      <w:rPr>
        <w:rFonts w:ascii="Courier New" w:hAnsi="Courier New" w:hint="default"/>
      </w:rPr>
    </w:lvl>
    <w:lvl w:ilvl="5" w:tplc="2C643D76">
      <w:start w:val="1"/>
      <w:numFmt w:val="bullet"/>
      <w:lvlText w:val=""/>
      <w:lvlJc w:val="left"/>
      <w:pPr>
        <w:ind w:left="4320" w:hanging="360"/>
      </w:pPr>
      <w:rPr>
        <w:rFonts w:ascii="Wingdings" w:hAnsi="Wingdings" w:hint="default"/>
      </w:rPr>
    </w:lvl>
    <w:lvl w:ilvl="6" w:tplc="5BFE8898">
      <w:start w:val="1"/>
      <w:numFmt w:val="bullet"/>
      <w:lvlText w:val=""/>
      <w:lvlJc w:val="left"/>
      <w:pPr>
        <w:ind w:left="5040" w:hanging="360"/>
      </w:pPr>
      <w:rPr>
        <w:rFonts w:ascii="Symbol" w:hAnsi="Symbol" w:hint="default"/>
      </w:rPr>
    </w:lvl>
    <w:lvl w:ilvl="7" w:tplc="9AAAFB0A">
      <w:start w:val="1"/>
      <w:numFmt w:val="bullet"/>
      <w:lvlText w:val="o"/>
      <w:lvlJc w:val="left"/>
      <w:pPr>
        <w:ind w:left="5760" w:hanging="360"/>
      </w:pPr>
      <w:rPr>
        <w:rFonts w:ascii="Courier New" w:hAnsi="Courier New" w:hint="default"/>
      </w:rPr>
    </w:lvl>
    <w:lvl w:ilvl="8" w:tplc="3244CAE2">
      <w:start w:val="1"/>
      <w:numFmt w:val="bullet"/>
      <w:lvlText w:val=""/>
      <w:lvlJc w:val="left"/>
      <w:pPr>
        <w:ind w:left="6480" w:hanging="360"/>
      </w:pPr>
      <w:rPr>
        <w:rFonts w:ascii="Wingdings" w:hAnsi="Wingdings" w:hint="default"/>
      </w:rPr>
    </w:lvl>
  </w:abstractNum>
  <w:abstractNum w:abstractNumId="15" w15:restartNumberingAfterBreak="0">
    <w:nsid w:val="2019220B"/>
    <w:multiLevelType w:val="hybridMultilevel"/>
    <w:tmpl w:val="554224B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24D401B8"/>
    <w:multiLevelType w:val="hybridMultilevel"/>
    <w:tmpl w:val="61F8C70A"/>
    <w:lvl w:ilvl="0" w:tplc="565C9192">
      <w:start w:val="1"/>
      <w:numFmt w:val="bullet"/>
      <w:lvlText w:val=""/>
      <w:lvlJc w:val="left"/>
      <w:pPr>
        <w:ind w:left="360" w:hanging="360"/>
      </w:pPr>
      <w:rPr>
        <w:rFonts w:ascii="Symbol" w:hAnsi="Symbol" w:hint="default"/>
      </w:rPr>
    </w:lvl>
    <w:lvl w:ilvl="1" w:tplc="028C172E">
      <w:start w:val="1"/>
      <w:numFmt w:val="bullet"/>
      <w:lvlText w:val="o"/>
      <w:lvlJc w:val="left"/>
      <w:pPr>
        <w:ind w:left="1080" w:hanging="360"/>
      </w:pPr>
      <w:rPr>
        <w:rFonts w:ascii="Courier New" w:hAnsi="Courier New" w:hint="default"/>
      </w:rPr>
    </w:lvl>
    <w:lvl w:ilvl="2" w:tplc="7ED4F318">
      <w:start w:val="1"/>
      <w:numFmt w:val="bullet"/>
      <w:lvlText w:val=""/>
      <w:lvlJc w:val="left"/>
      <w:pPr>
        <w:ind w:left="1800" w:hanging="360"/>
      </w:pPr>
      <w:rPr>
        <w:rFonts w:ascii="Wingdings" w:hAnsi="Wingdings" w:hint="default"/>
      </w:rPr>
    </w:lvl>
    <w:lvl w:ilvl="3" w:tplc="748ED974">
      <w:start w:val="1"/>
      <w:numFmt w:val="bullet"/>
      <w:lvlText w:val=""/>
      <w:lvlJc w:val="left"/>
      <w:pPr>
        <w:ind w:left="2520" w:hanging="360"/>
      </w:pPr>
      <w:rPr>
        <w:rFonts w:ascii="Symbol" w:hAnsi="Symbol" w:hint="default"/>
      </w:rPr>
    </w:lvl>
    <w:lvl w:ilvl="4" w:tplc="F86849BC">
      <w:start w:val="1"/>
      <w:numFmt w:val="bullet"/>
      <w:lvlText w:val="o"/>
      <w:lvlJc w:val="left"/>
      <w:pPr>
        <w:ind w:left="3240" w:hanging="360"/>
      </w:pPr>
      <w:rPr>
        <w:rFonts w:ascii="Courier New" w:hAnsi="Courier New" w:hint="default"/>
      </w:rPr>
    </w:lvl>
    <w:lvl w:ilvl="5" w:tplc="24345D70">
      <w:start w:val="1"/>
      <w:numFmt w:val="bullet"/>
      <w:lvlText w:val=""/>
      <w:lvlJc w:val="left"/>
      <w:pPr>
        <w:ind w:left="3960" w:hanging="360"/>
      </w:pPr>
      <w:rPr>
        <w:rFonts w:ascii="Wingdings" w:hAnsi="Wingdings" w:hint="default"/>
      </w:rPr>
    </w:lvl>
    <w:lvl w:ilvl="6" w:tplc="F2DEBA38">
      <w:start w:val="1"/>
      <w:numFmt w:val="bullet"/>
      <w:lvlText w:val=""/>
      <w:lvlJc w:val="left"/>
      <w:pPr>
        <w:ind w:left="4680" w:hanging="360"/>
      </w:pPr>
      <w:rPr>
        <w:rFonts w:ascii="Symbol" w:hAnsi="Symbol" w:hint="default"/>
      </w:rPr>
    </w:lvl>
    <w:lvl w:ilvl="7" w:tplc="905237A2">
      <w:start w:val="1"/>
      <w:numFmt w:val="bullet"/>
      <w:lvlText w:val="o"/>
      <w:lvlJc w:val="left"/>
      <w:pPr>
        <w:ind w:left="5400" w:hanging="360"/>
      </w:pPr>
      <w:rPr>
        <w:rFonts w:ascii="Courier New" w:hAnsi="Courier New" w:hint="default"/>
      </w:rPr>
    </w:lvl>
    <w:lvl w:ilvl="8" w:tplc="AA32CBDC">
      <w:start w:val="1"/>
      <w:numFmt w:val="bullet"/>
      <w:lvlText w:val=""/>
      <w:lvlJc w:val="left"/>
      <w:pPr>
        <w:ind w:left="6120" w:hanging="360"/>
      </w:pPr>
      <w:rPr>
        <w:rFonts w:ascii="Wingdings" w:hAnsi="Wingdings" w:hint="default"/>
      </w:rPr>
    </w:lvl>
  </w:abstractNum>
  <w:abstractNum w:abstractNumId="17" w15:restartNumberingAfterBreak="0">
    <w:nsid w:val="25A90744"/>
    <w:multiLevelType w:val="hybridMultilevel"/>
    <w:tmpl w:val="94DADE9A"/>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9" w15:restartNumberingAfterBreak="0">
    <w:nsid w:val="29F27428"/>
    <w:multiLevelType w:val="hybridMultilevel"/>
    <w:tmpl w:val="E2E2B85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32FA6E00"/>
    <w:multiLevelType w:val="hybridMultilevel"/>
    <w:tmpl w:val="A8263E80"/>
    <w:lvl w:ilvl="0" w:tplc="0E764B00">
      <w:start w:val="1"/>
      <w:numFmt w:val="bullet"/>
      <w:lvlText w:val=""/>
      <w:lvlJc w:val="left"/>
      <w:pPr>
        <w:ind w:left="720" w:hanging="360"/>
      </w:pPr>
      <w:rPr>
        <w:rFonts w:ascii="Symbol" w:hAnsi="Symbol" w:hint="default"/>
      </w:rPr>
    </w:lvl>
    <w:lvl w:ilvl="1" w:tplc="B7C237FA">
      <w:start w:val="1"/>
      <w:numFmt w:val="bullet"/>
      <w:lvlText w:val="o"/>
      <w:lvlJc w:val="left"/>
      <w:pPr>
        <w:ind w:left="1440" w:hanging="360"/>
      </w:pPr>
      <w:rPr>
        <w:rFonts w:ascii="Courier New" w:hAnsi="Courier New" w:hint="default"/>
      </w:rPr>
    </w:lvl>
    <w:lvl w:ilvl="2" w:tplc="EF0EA168">
      <w:start w:val="1"/>
      <w:numFmt w:val="bullet"/>
      <w:lvlText w:val=""/>
      <w:lvlJc w:val="left"/>
      <w:pPr>
        <w:ind w:left="2160" w:hanging="360"/>
      </w:pPr>
      <w:rPr>
        <w:rFonts w:ascii="Wingdings" w:hAnsi="Wingdings" w:hint="default"/>
      </w:rPr>
    </w:lvl>
    <w:lvl w:ilvl="3" w:tplc="B73E4A16">
      <w:start w:val="1"/>
      <w:numFmt w:val="bullet"/>
      <w:lvlText w:val=""/>
      <w:lvlJc w:val="left"/>
      <w:pPr>
        <w:ind w:left="2880" w:hanging="360"/>
      </w:pPr>
      <w:rPr>
        <w:rFonts w:ascii="Symbol" w:hAnsi="Symbol" w:hint="default"/>
      </w:rPr>
    </w:lvl>
    <w:lvl w:ilvl="4" w:tplc="AC0CC734">
      <w:start w:val="1"/>
      <w:numFmt w:val="bullet"/>
      <w:lvlText w:val="o"/>
      <w:lvlJc w:val="left"/>
      <w:pPr>
        <w:ind w:left="3600" w:hanging="360"/>
      </w:pPr>
      <w:rPr>
        <w:rFonts w:ascii="Courier New" w:hAnsi="Courier New" w:hint="default"/>
      </w:rPr>
    </w:lvl>
    <w:lvl w:ilvl="5" w:tplc="8A185844">
      <w:start w:val="1"/>
      <w:numFmt w:val="bullet"/>
      <w:lvlText w:val=""/>
      <w:lvlJc w:val="left"/>
      <w:pPr>
        <w:ind w:left="4320" w:hanging="360"/>
      </w:pPr>
      <w:rPr>
        <w:rFonts w:ascii="Wingdings" w:hAnsi="Wingdings" w:hint="default"/>
      </w:rPr>
    </w:lvl>
    <w:lvl w:ilvl="6" w:tplc="799490FC">
      <w:start w:val="1"/>
      <w:numFmt w:val="bullet"/>
      <w:lvlText w:val=""/>
      <w:lvlJc w:val="left"/>
      <w:pPr>
        <w:ind w:left="5040" w:hanging="360"/>
      </w:pPr>
      <w:rPr>
        <w:rFonts w:ascii="Symbol" w:hAnsi="Symbol" w:hint="default"/>
      </w:rPr>
    </w:lvl>
    <w:lvl w:ilvl="7" w:tplc="9F24BD52">
      <w:start w:val="1"/>
      <w:numFmt w:val="bullet"/>
      <w:lvlText w:val="o"/>
      <w:lvlJc w:val="left"/>
      <w:pPr>
        <w:ind w:left="5760" w:hanging="360"/>
      </w:pPr>
      <w:rPr>
        <w:rFonts w:ascii="Courier New" w:hAnsi="Courier New" w:hint="default"/>
      </w:rPr>
    </w:lvl>
    <w:lvl w:ilvl="8" w:tplc="94BC7DEA">
      <w:start w:val="1"/>
      <w:numFmt w:val="bullet"/>
      <w:lvlText w:val=""/>
      <w:lvlJc w:val="left"/>
      <w:pPr>
        <w:ind w:left="6480" w:hanging="360"/>
      </w:pPr>
      <w:rPr>
        <w:rFonts w:ascii="Wingdings" w:hAnsi="Wingdings" w:hint="default"/>
      </w:rPr>
    </w:lvl>
  </w:abstractNum>
  <w:abstractNum w:abstractNumId="22"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4" w15:restartNumberingAfterBreak="0">
    <w:nsid w:val="42A629C1"/>
    <w:multiLevelType w:val="hybridMultilevel"/>
    <w:tmpl w:val="0854DD6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5" w15:restartNumberingAfterBreak="0">
    <w:nsid w:val="42D363FB"/>
    <w:multiLevelType w:val="hybridMultilevel"/>
    <w:tmpl w:val="B018F48E"/>
    <w:lvl w:ilvl="0" w:tplc="87B6E11E">
      <w:start w:val="1"/>
      <w:numFmt w:val="bullet"/>
      <w:lvlText w:val=""/>
      <w:lvlJc w:val="left"/>
      <w:pPr>
        <w:ind w:left="720" w:hanging="360"/>
      </w:pPr>
      <w:rPr>
        <w:rFonts w:ascii="Symbol" w:hAnsi="Symbol" w:hint="default"/>
      </w:rPr>
    </w:lvl>
    <w:lvl w:ilvl="1" w:tplc="F3D85B34">
      <w:start w:val="1"/>
      <w:numFmt w:val="bullet"/>
      <w:lvlText w:val="o"/>
      <w:lvlJc w:val="left"/>
      <w:pPr>
        <w:ind w:left="1440" w:hanging="360"/>
      </w:pPr>
      <w:rPr>
        <w:rFonts w:ascii="Courier New" w:hAnsi="Courier New" w:hint="default"/>
      </w:rPr>
    </w:lvl>
    <w:lvl w:ilvl="2" w:tplc="75A4A9E0">
      <w:start w:val="1"/>
      <w:numFmt w:val="bullet"/>
      <w:lvlText w:val=""/>
      <w:lvlJc w:val="left"/>
      <w:pPr>
        <w:ind w:left="2160" w:hanging="360"/>
      </w:pPr>
      <w:rPr>
        <w:rFonts w:ascii="Wingdings" w:hAnsi="Wingdings" w:hint="default"/>
      </w:rPr>
    </w:lvl>
    <w:lvl w:ilvl="3" w:tplc="A3186AD0">
      <w:start w:val="1"/>
      <w:numFmt w:val="bullet"/>
      <w:lvlText w:val=""/>
      <w:lvlJc w:val="left"/>
      <w:pPr>
        <w:ind w:left="2880" w:hanging="360"/>
      </w:pPr>
      <w:rPr>
        <w:rFonts w:ascii="Symbol" w:hAnsi="Symbol" w:hint="default"/>
      </w:rPr>
    </w:lvl>
    <w:lvl w:ilvl="4" w:tplc="47B4378E">
      <w:start w:val="1"/>
      <w:numFmt w:val="bullet"/>
      <w:lvlText w:val="o"/>
      <w:lvlJc w:val="left"/>
      <w:pPr>
        <w:ind w:left="3600" w:hanging="360"/>
      </w:pPr>
      <w:rPr>
        <w:rFonts w:ascii="Courier New" w:hAnsi="Courier New" w:hint="default"/>
      </w:rPr>
    </w:lvl>
    <w:lvl w:ilvl="5" w:tplc="9502DB2A">
      <w:start w:val="1"/>
      <w:numFmt w:val="bullet"/>
      <w:lvlText w:val=""/>
      <w:lvlJc w:val="left"/>
      <w:pPr>
        <w:ind w:left="4320" w:hanging="360"/>
      </w:pPr>
      <w:rPr>
        <w:rFonts w:ascii="Wingdings" w:hAnsi="Wingdings" w:hint="default"/>
      </w:rPr>
    </w:lvl>
    <w:lvl w:ilvl="6" w:tplc="544089CA">
      <w:start w:val="1"/>
      <w:numFmt w:val="bullet"/>
      <w:lvlText w:val=""/>
      <w:lvlJc w:val="left"/>
      <w:pPr>
        <w:ind w:left="5040" w:hanging="360"/>
      </w:pPr>
      <w:rPr>
        <w:rFonts w:ascii="Symbol" w:hAnsi="Symbol" w:hint="default"/>
      </w:rPr>
    </w:lvl>
    <w:lvl w:ilvl="7" w:tplc="AF469594">
      <w:start w:val="1"/>
      <w:numFmt w:val="bullet"/>
      <w:lvlText w:val="o"/>
      <w:lvlJc w:val="left"/>
      <w:pPr>
        <w:ind w:left="5760" w:hanging="360"/>
      </w:pPr>
      <w:rPr>
        <w:rFonts w:ascii="Courier New" w:hAnsi="Courier New" w:hint="default"/>
      </w:rPr>
    </w:lvl>
    <w:lvl w:ilvl="8" w:tplc="B46E6FFE">
      <w:start w:val="1"/>
      <w:numFmt w:val="bullet"/>
      <w:lvlText w:val=""/>
      <w:lvlJc w:val="left"/>
      <w:pPr>
        <w:ind w:left="6480" w:hanging="360"/>
      </w:pPr>
      <w:rPr>
        <w:rFonts w:ascii="Wingdings" w:hAnsi="Wingdings" w:hint="default"/>
      </w:rPr>
    </w:lvl>
  </w:abstractNum>
  <w:abstractNum w:abstractNumId="26" w15:restartNumberingAfterBreak="0">
    <w:nsid w:val="45854D23"/>
    <w:multiLevelType w:val="hybridMultilevel"/>
    <w:tmpl w:val="7FAC5EA8"/>
    <w:lvl w:ilvl="0" w:tplc="FFFFFFFF">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15:restartNumberingAfterBreak="0">
    <w:nsid w:val="460D18DE"/>
    <w:multiLevelType w:val="hybridMultilevel"/>
    <w:tmpl w:val="7B4207DA"/>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28" w15:restartNumberingAfterBreak="0">
    <w:nsid w:val="46A85B34"/>
    <w:multiLevelType w:val="hybridMultilevel"/>
    <w:tmpl w:val="57DE6570"/>
    <w:lvl w:ilvl="0" w:tplc="020E146E">
      <w:start w:val="1"/>
      <w:numFmt w:val="upp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29" w15:restartNumberingAfterBreak="0">
    <w:nsid w:val="474D24E4"/>
    <w:multiLevelType w:val="hybridMultilevel"/>
    <w:tmpl w:val="D71CD9D0"/>
    <w:lvl w:ilvl="0" w:tplc="AC98B1BC">
      <w:start w:val="1"/>
      <w:numFmt w:val="bullet"/>
      <w:lvlText w:val=""/>
      <w:lvlJc w:val="left"/>
      <w:pPr>
        <w:ind w:left="720" w:hanging="360"/>
      </w:pPr>
      <w:rPr>
        <w:rFonts w:ascii="Symbol" w:hAnsi="Symbol" w:hint="default"/>
      </w:rPr>
    </w:lvl>
    <w:lvl w:ilvl="1" w:tplc="F7DEAE38">
      <w:start w:val="1"/>
      <w:numFmt w:val="bullet"/>
      <w:lvlText w:val="o"/>
      <w:lvlJc w:val="left"/>
      <w:pPr>
        <w:ind w:left="1440" w:hanging="360"/>
      </w:pPr>
      <w:rPr>
        <w:rFonts w:ascii="Courier New" w:hAnsi="Courier New" w:hint="default"/>
      </w:rPr>
    </w:lvl>
    <w:lvl w:ilvl="2" w:tplc="2C24B9E6">
      <w:start w:val="1"/>
      <w:numFmt w:val="bullet"/>
      <w:lvlText w:val=""/>
      <w:lvlJc w:val="left"/>
      <w:pPr>
        <w:ind w:left="2160" w:hanging="360"/>
      </w:pPr>
      <w:rPr>
        <w:rFonts w:ascii="Wingdings" w:hAnsi="Wingdings" w:hint="default"/>
      </w:rPr>
    </w:lvl>
    <w:lvl w:ilvl="3" w:tplc="351CC10A">
      <w:start w:val="1"/>
      <w:numFmt w:val="bullet"/>
      <w:lvlText w:val=""/>
      <w:lvlJc w:val="left"/>
      <w:pPr>
        <w:ind w:left="2880" w:hanging="360"/>
      </w:pPr>
      <w:rPr>
        <w:rFonts w:ascii="Symbol" w:hAnsi="Symbol" w:hint="default"/>
      </w:rPr>
    </w:lvl>
    <w:lvl w:ilvl="4" w:tplc="19981F10">
      <w:start w:val="1"/>
      <w:numFmt w:val="bullet"/>
      <w:lvlText w:val="o"/>
      <w:lvlJc w:val="left"/>
      <w:pPr>
        <w:ind w:left="3600" w:hanging="360"/>
      </w:pPr>
      <w:rPr>
        <w:rFonts w:ascii="Courier New" w:hAnsi="Courier New" w:hint="default"/>
      </w:rPr>
    </w:lvl>
    <w:lvl w:ilvl="5" w:tplc="F5D218D0">
      <w:start w:val="1"/>
      <w:numFmt w:val="bullet"/>
      <w:lvlText w:val=""/>
      <w:lvlJc w:val="left"/>
      <w:pPr>
        <w:ind w:left="4320" w:hanging="360"/>
      </w:pPr>
      <w:rPr>
        <w:rFonts w:ascii="Wingdings" w:hAnsi="Wingdings" w:hint="default"/>
      </w:rPr>
    </w:lvl>
    <w:lvl w:ilvl="6" w:tplc="231A1B10">
      <w:start w:val="1"/>
      <w:numFmt w:val="bullet"/>
      <w:lvlText w:val=""/>
      <w:lvlJc w:val="left"/>
      <w:pPr>
        <w:ind w:left="5040" w:hanging="360"/>
      </w:pPr>
      <w:rPr>
        <w:rFonts w:ascii="Symbol" w:hAnsi="Symbol" w:hint="default"/>
      </w:rPr>
    </w:lvl>
    <w:lvl w:ilvl="7" w:tplc="B608C8F0">
      <w:start w:val="1"/>
      <w:numFmt w:val="bullet"/>
      <w:lvlText w:val="o"/>
      <w:lvlJc w:val="left"/>
      <w:pPr>
        <w:ind w:left="5760" w:hanging="360"/>
      </w:pPr>
      <w:rPr>
        <w:rFonts w:ascii="Courier New" w:hAnsi="Courier New" w:hint="default"/>
      </w:rPr>
    </w:lvl>
    <w:lvl w:ilvl="8" w:tplc="435A4A0A">
      <w:start w:val="1"/>
      <w:numFmt w:val="bullet"/>
      <w:lvlText w:val=""/>
      <w:lvlJc w:val="left"/>
      <w:pPr>
        <w:ind w:left="6480" w:hanging="360"/>
      </w:pPr>
      <w:rPr>
        <w:rFonts w:ascii="Wingdings" w:hAnsi="Wingdings" w:hint="default"/>
      </w:rPr>
    </w:lvl>
  </w:abstractNum>
  <w:abstractNum w:abstractNumId="30" w15:restartNumberingAfterBreak="0">
    <w:nsid w:val="5A233104"/>
    <w:multiLevelType w:val="hybridMultilevel"/>
    <w:tmpl w:val="368A946E"/>
    <w:lvl w:ilvl="0" w:tplc="EC122A22">
      <w:start w:val="1"/>
      <w:numFmt w:val="bullet"/>
      <w:lvlText w:val=""/>
      <w:lvlJc w:val="left"/>
      <w:pPr>
        <w:ind w:left="720" w:hanging="360"/>
      </w:pPr>
      <w:rPr>
        <w:rFonts w:ascii="Symbol" w:hAnsi="Symbol" w:hint="default"/>
      </w:rPr>
    </w:lvl>
    <w:lvl w:ilvl="1" w:tplc="9FD68280">
      <w:start w:val="1"/>
      <w:numFmt w:val="lowerLetter"/>
      <w:lvlText w:val="%2."/>
      <w:lvlJc w:val="left"/>
      <w:pPr>
        <w:ind w:left="1440" w:hanging="360"/>
      </w:pPr>
    </w:lvl>
    <w:lvl w:ilvl="2" w:tplc="E66C7BBA">
      <w:start w:val="1"/>
      <w:numFmt w:val="lowerRoman"/>
      <w:lvlText w:val="%3."/>
      <w:lvlJc w:val="right"/>
      <w:pPr>
        <w:ind w:left="2160" w:hanging="180"/>
      </w:pPr>
    </w:lvl>
    <w:lvl w:ilvl="3" w:tplc="FBE08214">
      <w:start w:val="1"/>
      <w:numFmt w:val="decimal"/>
      <w:lvlText w:val="%4."/>
      <w:lvlJc w:val="left"/>
      <w:pPr>
        <w:ind w:left="2880" w:hanging="360"/>
      </w:pPr>
    </w:lvl>
    <w:lvl w:ilvl="4" w:tplc="9C96C8D2">
      <w:start w:val="1"/>
      <w:numFmt w:val="lowerLetter"/>
      <w:lvlText w:val="%5."/>
      <w:lvlJc w:val="left"/>
      <w:pPr>
        <w:ind w:left="3600" w:hanging="360"/>
      </w:pPr>
    </w:lvl>
    <w:lvl w:ilvl="5" w:tplc="D2746740">
      <w:start w:val="1"/>
      <w:numFmt w:val="lowerRoman"/>
      <w:lvlText w:val="%6."/>
      <w:lvlJc w:val="right"/>
      <w:pPr>
        <w:ind w:left="4320" w:hanging="180"/>
      </w:pPr>
    </w:lvl>
    <w:lvl w:ilvl="6" w:tplc="8A10EA5C">
      <w:start w:val="1"/>
      <w:numFmt w:val="decimal"/>
      <w:lvlText w:val="%7."/>
      <w:lvlJc w:val="left"/>
      <w:pPr>
        <w:ind w:left="5040" w:hanging="360"/>
      </w:pPr>
    </w:lvl>
    <w:lvl w:ilvl="7" w:tplc="6F12689C">
      <w:start w:val="1"/>
      <w:numFmt w:val="lowerLetter"/>
      <w:lvlText w:val="%8."/>
      <w:lvlJc w:val="left"/>
      <w:pPr>
        <w:ind w:left="5760" w:hanging="360"/>
      </w:pPr>
    </w:lvl>
    <w:lvl w:ilvl="8" w:tplc="80EC74EC">
      <w:start w:val="1"/>
      <w:numFmt w:val="lowerRoman"/>
      <w:lvlText w:val="%9."/>
      <w:lvlJc w:val="right"/>
      <w:pPr>
        <w:ind w:left="6480" w:hanging="180"/>
      </w:pPr>
    </w:lvl>
  </w:abstractNum>
  <w:abstractNum w:abstractNumId="31" w15:restartNumberingAfterBreak="0">
    <w:nsid w:val="5F1570EF"/>
    <w:multiLevelType w:val="hybridMultilevel"/>
    <w:tmpl w:val="A3988D02"/>
    <w:lvl w:ilvl="0" w:tplc="F3BAB18E">
      <w:start w:val="1"/>
      <w:numFmt w:val="lowerRoman"/>
      <w:lvlText w:val="%1."/>
      <w:lvlJc w:val="right"/>
      <w:pPr>
        <w:ind w:left="720" w:hanging="360"/>
      </w:pPr>
    </w:lvl>
    <w:lvl w:ilvl="1" w:tplc="1DAE103A">
      <w:start w:val="1"/>
      <w:numFmt w:val="lowerLetter"/>
      <w:lvlText w:val="%2."/>
      <w:lvlJc w:val="left"/>
      <w:pPr>
        <w:ind w:left="1440" w:hanging="360"/>
      </w:pPr>
    </w:lvl>
    <w:lvl w:ilvl="2" w:tplc="DB5CFAC0">
      <w:start w:val="1"/>
      <w:numFmt w:val="lowerRoman"/>
      <w:lvlText w:val="%3."/>
      <w:lvlJc w:val="right"/>
      <w:pPr>
        <w:ind w:left="2160" w:hanging="180"/>
      </w:pPr>
    </w:lvl>
    <w:lvl w:ilvl="3" w:tplc="49F80A38">
      <w:start w:val="1"/>
      <w:numFmt w:val="decimal"/>
      <w:lvlText w:val="%4."/>
      <w:lvlJc w:val="left"/>
      <w:pPr>
        <w:ind w:left="2880" w:hanging="360"/>
      </w:pPr>
    </w:lvl>
    <w:lvl w:ilvl="4" w:tplc="80EC66BC">
      <w:start w:val="1"/>
      <w:numFmt w:val="lowerLetter"/>
      <w:lvlText w:val="%5."/>
      <w:lvlJc w:val="left"/>
      <w:pPr>
        <w:ind w:left="3600" w:hanging="360"/>
      </w:pPr>
    </w:lvl>
    <w:lvl w:ilvl="5" w:tplc="9898A26E">
      <w:start w:val="1"/>
      <w:numFmt w:val="lowerRoman"/>
      <w:lvlText w:val="%6."/>
      <w:lvlJc w:val="right"/>
      <w:pPr>
        <w:ind w:left="4320" w:hanging="180"/>
      </w:pPr>
    </w:lvl>
    <w:lvl w:ilvl="6" w:tplc="C87826AA">
      <w:start w:val="1"/>
      <w:numFmt w:val="decimal"/>
      <w:lvlText w:val="%7."/>
      <w:lvlJc w:val="left"/>
      <w:pPr>
        <w:ind w:left="5040" w:hanging="360"/>
      </w:pPr>
    </w:lvl>
    <w:lvl w:ilvl="7" w:tplc="D30E3E56">
      <w:start w:val="1"/>
      <w:numFmt w:val="lowerLetter"/>
      <w:lvlText w:val="%8."/>
      <w:lvlJc w:val="left"/>
      <w:pPr>
        <w:ind w:left="5760" w:hanging="360"/>
      </w:pPr>
    </w:lvl>
    <w:lvl w:ilvl="8" w:tplc="BCF2098A">
      <w:start w:val="1"/>
      <w:numFmt w:val="lowerRoman"/>
      <w:lvlText w:val="%9."/>
      <w:lvlJc w:val="right"/>
      <w:pPr>
        <w:ind w:left="6480" w:hanging="180"/>
      </w:pPr>
    </w:lvl>
  </w:abstractNum>
  <w:abstractNum w:abstractNumId="32" w15:restartNumberingAfterBreak="0">
    <w:nsid w:val="5F6904D1"/>
    <w:multiLevelType w:val="hybridMultilevel"/>
    <w:tmpl w:val="D9E481D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3" w15:restartNumberingAfterBreak="0">
    <w:nsid w:val="6BB41FB5"/>
    <w:multiLevelType w:val="hybridMultilevel"/>
    <w:tmpl w:val="331053C2"/>
    <w:lvl w:ilvl="0" w:tplc="C7BE4D1E">
      <w:start w:val="1"/>
      <w:numFmt w:val="bullet"/>
      <w:lvlText w:val=""/>
      <w:lvlJc w:val="left"/>
      <w:pPr>
        <w:ind w:left="720" w:hanging="360"/>
      </w:pPr>
      <w:rPr>
        <w:rFonts w:ascii="Symbol" w:hAnsi="Symbol" w:hint="default"/>
      </w:rPr>
    </w:lvl>
    <w:lvl w:ilvl="1" w:tplc="CBD2AC32">
      <w:start w:val="1"/>
      <w:numFmt w:val="bullet"/>
      <w:lvlText w:val="o"/>
      <w:lvlJc w:val="left"/>
      <w:pPr>
        <w:ind w:left="1440" w:hanging="360"/>
      </w:pPr>
      <w:rPr>
        <w:rFonts w:ascii="Courier New" w:hAnsi="Courier New" w:hint="default"/>
      </w:rPr>
    </w:lvl>
    <w:lvl w:ilvl="2" w:tplc="95FA14C4">
      <w:start w:val="1"/>
      <w:numFmt w:val="bullet"/>
      <w:lvlText w:val=""/>
      <w:lvlJc w:val="left"/>
      <w:pPr>
        <w:ind w:left="2160" w:hanging="360"/>
      </w:pPr>
      <w:rPr>
        <w:rFonts w:ascii="Wingdings" w:hAnsi="Wingdings" w:hint="default"/>
      </w:rPr>
    </w:lvl>
    <w:lvl w:ilvl="3" w:tplc="EF400D2E">
      <w:start w:val="1"/>
      <w:numFmt w:val="bullet"/>
      <w:lvlText w:val=""/>
      <w:lvlJc w:val="left"/>
      <w:pPr>
        <w:ind w:left="2880" w:hanging="360"/>
      </w:pPr>
      <w:rPr>
        <w:rFonts w:ascii="Symbol" w:hAnsi="Symbol" w:hint="default"/>
      </w:rPr>
    </w:lvl>
    <w:lvl w:ilvl="4" w:tplc="015EEA52">
      <w:start w:val="1"/>
      <w:numFmt w:val="bullet"/>
      <w:lvlText w:val="o"/>
      <w:lvlJc w:val="left"/>
      <w:pPr>
        <w:ind w:left="3600" w:hanging="360"/>
      </w:pPr>
      <w:rPr>
        <w:rFonts w:ascii="Courier New" w:hAnsi="Courier New" w:hint="default"/>
      </w:rPr>
    </w:lvl>
    <w:lvl w:ilvl="5" w:tplc="EB02595C">
      <w:start w:val="1"/>
      <w:numFmt w:val="bullet"/>
      <w:lvlText w:val=""/>
      <w:lvlJc w:val="left"/>
      <w:pPr>
        <w:ind w:left="4320" w:hanging="360"/>
      </w:pPr>
      <w:rPr>
        <w:rFonts w:ascii="Wingdings" w:hAnsi="Wingdings" w:hint="default"/>
      </w:rPr>
    </w:lvl>
    <w:lvl w:ilvl="6" w:tplc="9D94A5BC">
      <w:start w:val="1"/>
      <w:numFmt w:val="bullet"/>
      <w:lvlText w:val=""/>
      <w:lvlJc w:val="left"/>
      <w:pPr>
        <w:ind w:left="5040" w:hanging="360"/>
      </w:pPr>
      <w:rPr>
        <w:rFonts w:ascii="Symbol" w:hAnsi="Symbol" w:hint="default"/>
      </w:rPr>
    </w:lvl>
    <w:lvl w:ilvl="7" w:tplc="CA687DB8">
      <w:start w:val="1"/>
      <w:numFmt w:val="bullet"/>
      <w:lvlText w:val="o"/>
      <w:lvlJc w:val="left"/>
      <w:pPr>
        <w:ind w:left="5760" w:hanging="360"/>
      </w:pPr>
      <w:rPr>
        <w:rFonts w:ascii="Courier New" w:hAnsi="Courier New" w:hint="default"/>
      </w:rPr>
    </w:lvl>
    <w:lvl w:ilvl="8" w:tplc="A37EC0FA">
      <w:start w:val="1"/>
      <w:numFmt w:val="bullet"/>
      <w:lvlText w:val=""/>
      <w:lvlJc w:val="left"/>
      <w:pPr>
        <w:ind w:left="6480" w:hanging="360"/>
      </w:pPr>
      <w:rPr>
        <w:rFonts w:ascii="Wingdings" w:hAnsi="Wingdings" w:hint="default"/>
      </w:rPr>
    </w:lvl>
  </w:abstractNum>
  <w:abstractNum w:abstractNumId="34" w15:restartNumberingAfterBreak="0">
    <w:nsid w:val="73891F67"/>
    <w:multiLevelType w:val="hybridMultilevel"/>
    <w:tmpl w:val="DEF26B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5" w15:restartNumberingAfterBreak="0">
    <w:nsid w:val="77041DA4"/>
    <w:multiLevelType w:val="hybridMultilevel"/>
    <w:tmpl w:val="B8C0288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6"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37" w15:restartNumberingAfterBreak="0">
    <w:nsid w:val="7E4607DD"/>
    <w:multiLevelType w:val="hybridMultilevel"/>
    <w:tmpl w:val="B136F190"/>
    <w:lvl w:ilvl="0" w:tplc="A1CA3D96">
      <w:start w:val="1"/>
      <w:numFmt w:val="bullet"/>
      <w:lvlText w:val=""/>
      <w:lvlJc w:val="left"/>
      <w:pPr>
        <w:ind w:left="720" w:hanging="360"/>
      </w:pPr>
      <w:rPr>
        <w:rFonts w:ascii="Symbol" w:hAnsi="Symbol" w:hint="default"/>
      </w:rPr>
    </w:lvl>
    <w:lvl w:ilvl="1" w:tplc="19843920">
      <w:start w:val="1"/>
      <w:numFmt w:val="bullet"/>
      <w:lvlText w:val="o"/>
      <w:lvlJc w:val="left"/>
      <w:pPr>
        <w:ind w:left="1440" w:hanging="360"/>
      </w:pPr>
      <w:rPr>
        <w:rFonts w:ascii="Courier New" w:hAnsi="Courier New" w:hint="default"/>
      </w:rPr>
    </w:lvl>
    <w:lvl w:ilvl="2" w:tplc="0656714A">
      <w:start w:val="1"/>
      <w:numFmt w:val="bullet"/>
      <w:lvlText w:val=""/>
      <w:lvlJc w:val="left"/>
      <w:pPr>
        <w:ind w:left="2160" w:hanging="360"/>
      </w:pPr>
      <w:rPr>
        <w:rFonts w:ascii="Wingdings" w:hAnsi="Wingdings" w:hint="default"/>
      </w:rPr>
    </w:lvl>
    <w:lvl w:ilvl="3" w:tplc="9F2CFF5C">
      <w:start w:val="1"/>
      <w:numFmt w:val="bullet"/>
      <w:lvlText w:val=""/>
      <w:lvlJc w:val="left"/>
      <w:pPr>
        <w:ind w:left="2880" w:hanging="360"/>
      </w:pPr>
      <w:rPr>
        <w:rFonts w:ascii="Symbol" w:hAnsi="Symbol" w:hint="default"/>
      </w:rPr>
    </w:lvl>
    <w:lvl w:ilvl="4" w:tplc="2398FA28">
      <w:start w:val="1"/>
      <w:numFmt w:val="bullet"/>
      <w:lvlText w:val="o"/>
      <w:lvlJc w:val="left"/>
      <w:pPr>
        <w:ind w:left="3600" w:hanging="360"/>
      </w:pPr>
      <w:rPr>
        <w:rFonts w:ascii="Courier New" w:hAnsi="Courier New" w:hint="default"/>
      </w:rPr>
    </w:lvl>
    <w:lvl w:ilvl="5" w:tplc="832CCFA6">
      <w:start w:val="1"/>
      <w:numFmt w:val="bullet"/>
      <w:lvlText w:val=""/>
      <w:lvlJc w:val="left"/>
      <w:pPr>
        <w:ind w:left="4320" w:hanging="360"/>
      </w:pPr>
      <w:rPr>
        <w:rFonts w:ascii="Wingdings" w:hAnsi="Wingdings" w:hint="default"/>
      </w:rPr>
    </w:lvl>
    <w:lvl w:ilvl="6" w:tplc="96107E96">
      <w:start w:val="1"/>
      <w:numFmt w:val="bullet"/>
      <w:lvlText w:val=""/>
      <w:lvlJc w:val="left"/>
      <w:pPr>
        <w:ind w:left="5040" w:hanging="360"/>
      </w:pPr>
      <w:rPr>
        <w:rFonts w:ascii="Symbol" w:hAnsi="Symbol" w:hint="default"/>
      </w:rPr>
    </w:lvl>
    <w:lvl w:ilvl="7" w:tplc="9D7E8588">
      <w:start w:val="1"/>
      <w:numFmt w:val="bullet"/>
      <w:lvlText w:val="o"/>
      <w:lvlJc w:val="left"/>
      <w:pPr>
        <w:ind w:left="5760" w:hanging="360"/>
      </w:pPr>
      <w:rPr>
        <w:rFonts w:ascii="Courier New" w:hAnsi="Courier New" w:hint="default"/>
      </w:rPr>
    </w:lvl>
    <w:lvl w:ilvl="8" w:tplc="34AC146E">
      <w:start w:val="1"/>
      <w:numFmt w:val="bullet"/>
      <w:lvlText w:val=""/>
      <w:lvlJc w:val="left"/>
      <w:pPr>
        <w:ind w:left="6480" w:hanging="360"/>
      </w:pPr>
      <w:rPr>
        <w:rFonts w:ascii="Wingdings" w:hAnsi="Wingdings" w:hint="default"/>
      </w:rPr>
    </w:lvl>
  </w:abstractNum>
  <w:abstractNum w:abstractNumId="38" w15:restartNumberingAfterBreak="0">
    <w:nsid w:val="7F57775A"/>
    <w:multiLevelType w:val="hybridMultilevel"/>
    <w:tmpl w:val="132E1472"/>
    <w:lvl w:ilvl="0" w:tplc="A05ECAFA">
      <w:start w:val="1"/>
      <w:numFmt w:val="bullet"/>
      <w:lvlText w:val=""/>
      <w:lvlJc w:val="left"/>
      <w:pPr>
        <w:ind w:left="720" w:hanging="360"/>
      </w:pPr>
      <w:rPr>
        <w:rFonts w:ascii="Symbol" w:hAnsi="Symbol" w:hint="default"/>
      </w:rPr>
    </w:lvl>
    <w:lvl w:ilvl="1" w:tplc="8C58A97E">
      <w:start w:val="1"/>
      <w:numFmt w:val="bullet"/>
      <w:lvlText w:val="o"/>
      <w:lvlJc w:val="left"/>
      <w:pPr>
        <w:ind w:left="1440" w:hanging="360"/>
      </w:pPr>
      <w:rPr>
        <w:rFonts w:ascii="Courier New" w:hAnsi="Courier New" w:hint="default"/>
      </w:rPr>
    </w:lvl>
    <w:lvl w:ilvl="2" w:tplc="CC14A624">
      <w:start w:val="1"/>
      <w:numFmt w:val="bullet"/>
      <w:lvlText w:val=""/>
      <w:lvlJc w:val="left"/>
      <w:pPr>
        <w:ind w:left="2160" w:hanging="360"/>
      </w:pPr>
      <w:rPr>
        <w:rFonts w:ascii="Wingdings" w:hAnsi="Wingdings" w:hint="default"/>
      </w:rPr>
    </w:lvl>
    <w:lvl w:ilvl="3" w:tplc="447EF4CC">
      <w:start w:val="1"/>
      <w:numFmt w:val="bullet"/>
      <w:lvlText w:val=""/>
      <w:lvlJc w:val="left"/>
      <w:pPr>
        <w:ind w:left="2880" w:hanging="360"/>
      </w:pPr>
      <w:rPr>
        <w:rFonts w:ascii="Symbol" w:hAnsi="Symbol" w:hint="default"/>
      </w:rPr>
    </w:lvl>
    <w:lvl w:ilvl="4" w:tplc="E98E9808">
      <w:start w:val="1"/>
      <w:numFmt w:val="bullet"/>
      <w:lvlText w:val="o"/>
      <w:lvlJc w:val="left"/>
      <w:pPr>
        <w:ind w:left="3600" w:hanging="360"/>
      </w:pPr>
      <w:rPr>
        <w:rFonts w:ascii="Courier New" w:hAnsi="Courier New" w:hint="default"/>
      </w:rPr>
    </w:lvl>
    <w:lvl w:ilvl="5" w:tplc="FF5AA5AA">
      <w:start w:val="1"/>
      <w:numFmt w:val="bullet"/>
      <w:lvlText w:val=""/>
      <w:lvlJc w:val="left"/>
      <w:pPr>
        <w:ind w:left="4320" w:hanging="360"/>
      </w:pPr>
      <w:rPr>
        <w:rFonts w:ascii="Wingdings" w:hAnsi="Wingdings" w:hint="default"/>
      </w:rPr>
    </w:lvl>
    <w:lvl w:ilvl="6" w:tplc="FCA87B00">
      <w:start w:val="1"/>
      <w:numFmt w:val="bullet"/>
      <w:lvlText w:val=""/>
      <w:lvlJc w:val="left"/>
      <w:pPr>
        <w:ind w:left="5040" w:hanging="360"/>
      </w:pPr>
      <w:rPr>
        <w:rFonts w:ascii="Symbol" w:hAnsi="Symbol" w:hint="default"/>
      </w:rPr>
    </w:lvl>
    <w:lvl w:ilvl="7" w:tplc="3376B742">
      <w:start w:val="1"/>
      <w:numFmt w:val="bullet"/>
      <w:lvlText w:val="o"/>
      <w:lvlJc w:val="left"/>
      <w:pPr>
        <w:ind w:left="5760" w:hanging="360"/>
      </w:pPr>
      <w:rPr>
        <w:rFonts w:ascii="Courier New" w:hAnsi="Courier New" w:hint="default"/>
      </w:rPr>
    </w:lvl>
    <w:lvl w:ilvl="8" w:tplc="166ECF9A">
      <w:start w:val="1"/>
      <w:numFmt w:val="bullet"/>
      <w:lvlText w:val=""/>
      <w:lvlJc w:val="left"/>
      <w:pPr>
        <w:ind w:left="6480" w:hanging="360"/>
      </w:pPr>
      <w:rPr>
        <w:rFonts w:ascii="Wingdings" w:hAnsi="Wingdings" w:hint="default"/>
      </w:rPr>
    </w:lvl>
  </w:abstractNum>
  <w:num w:numId="1">
    <w:abstractNumId w:val="10"/>
  </w:num>
  <w:num w:numId="2">
    <w:abstractNumId w:val="14"/>
  </w:num>
  <w:num w:numId="3">
    <w:abstractNumId w:val="38"/>
  </w:num>
  <w:num w:numId="4">
    <w:abstractNumId w:val="31"/>
  </w:num>
  <w:num w:numId="5">
    <w:abstractNumId w:val="16"/>
  </w:num>
  <w:num w:numId="6">
    <w:abstractNumId w:val="20"/>
  </w:num>
  <w:num w:numId="7">
    <w:abstractNumId w:val="22"/>
  </w:num>
  <w:num w:numId="8">
    <w:abstractNumId w:val="0"/>
  </w:num>
  <w:num w:numId="9">
    <w:abstractNumId w:val="18"/>
  </w:num>
  <w:num w:numId="10">
    <w:abstractNumId w:val="36"/>
  </w:num>
  <w:num w:numId="11">
    <w:abstractNumId w:val="23"/>
  </w:num>
  <w:num w:numId="12">
    <w:abstractNumId w:val="28"/>
  </w:num>
  <w:num w:numId="13">
    <w:abstractNumId w:val="6"/>
  </w:num>
  <w:num w:numId="14">
    <w:abstractNumId w:val="27"/>
  </w:num>
  <w:num w:numId="15">
    <w:abstractNumId w:val="12"/>
  </w:num>
  <w:num w:numId="16">
    <w:abstractNumId w:val="21"/>
  </w:num>
  <w:num w:numId="17">
    <w:abstractNumId w:val="2"/>
  </w:num>
  <w:num w:numId="18">
    <w:abstractNumId w:val="4"/>
  </w:num>
  <w:num w:numId="19">
    <w:abstractNumId w:val="13"/>
  </w:num>
  <w:num w:numId="20">
    <w:abstractNumId w:val="37"/>
  </w:num>
  <w:num w:numId="21">
    <w:abstractNumId w:val="33"/>
  </w:num>
  <w:num w:numId="22">
    <w:abstractNumId w:val="30"/>
  </w:num>
  <w:num w:numId="23">
    <w:abstractNumId w:val="1"/>
  </w:num>
  <w:num w:numId="24">
    <w:abstractNumId w:val="29"/>
  </w:num>
  <w:num w:numId="25">
    <w:abstractNumId w:val="25"/>
  </w:num>
  <w:num w:numId="26">
    <w:abstractNumId w:val="26"/>
  </w:num>
  <w:num w:numId="27">
    <w:abstractNumId w:val="17"/>
  </w:num>
  <w:num w:numId="28">
    <w:abstractNumId w:val="35"/>
  </w:num>
  <w:num w:numId="29">
    <w:abstractNumId w:val="3"/>
  </w:num>
  <w:num w:numId="30">
    <w:abstractNumId w:val="34"/>
  </w:num>
  <w:num w:numId="31">
    <w:abstractNumId w:val="19"/>
  </w:num>
  <w:num w:numId="32">
    <w:abstractNumId w:val="15"/>
  </w:num>
  <w:num w:numId="33">
    <w:abstractNumId w:val="5"/>
  </w:num>
  <w:num w:numId="34">
    <w:abstractNumId w:val="24"/>
  </w:num>
  <w:num w:numId="35">
    <w:abstractNumId w:val="11"/>
  </w:num>
  <w:num w:numId="36">
    <w:abstractNumId w:val="9"/>
  </w:num>
  <w:num w:numId="37">
    <w:abstractNumId w:val="7"/>
  </w:num>
  <w:num w:numId="38">
    <w:abstractNumId w:val="32"/>
  </w:num>
  <w:num w:numId="39">
    <w:abstractNumId w:val="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F8A"/>
    <w:rsid w:val="00012C92"/>
    <w:rsid w:val="00014AEC"/>
    <w:rsid w:val="00022048"/>
    <w:rsid w:val="00022DB9"/>
    <w:rsid w:val="00024226"/>
    <w:rsid w:val="00031128"/>
    <w:rsid w:val="00031E15"/>
    <w:rsid w:val="000348B3"/>
    <w:rsid w:val="00037A26"/>
    <w:rsid w:val="0004060A"/>
    <w:rsid w:val="00046CF6"/>
    <w:rsid w:val="000473B0"/>
    <w:rsid w:val="0005652B"/>
    <w:rsid w:val="00057F56"/>
    <w:rsid w:val="00062E86"/>
    <w:rsid w:val="0006541F"/>
    <w:rsid w:val="00065431"/>
    <w:rsid w:val="00072A4C"/>
    <w:rsid w:val="00074BDC"/>
    <w:rsid w:val="00075E7B"/>
    <w:rsid w:val="00081690"/>
    <w:rsid w:val="000866B1"/>
    <w:rsid w:val="000875CA"/>
    <w:rsid w:val="00091063"/>
    <w:rsid w:val="000926E5"/>
    <w:rsid w:val="0009519D"/>
    <w:rsid w:val="000975E2"/>
    <w:rsid w:val="000A13B3"/>
    <w:rsid w:val="000A37A0"/>
    <w:rsid w:val="000A6152"/>
    <w:rsid w:val="000A68A8"/>
    <w:rsid w:val="000A68B9"/>
    <w:rsid w:val="000B192F"/>
    <w:rsid w:val="000B3F8A"/>
    <w:rsid w:val="000B43AE"/>
    <w:rsid w:val="000B4D37"/>
    <w:rsid w:val="000B5B7E"/>
    <w:rsid w:val="000B7327"/>
    <w:rsid w:val="000C457D"/>
    <w:rsid w:val="000D2B4C"/>
    <w:rsid w:val="000D6B05"/>
    <w:rsid w:val="000E0B56"/>
    <w:rsid w:val="000E1C8A"/>
    <w:rsid w:val="000E5040"/>
    <w:rsid w:val="000E7AFB"/>
    <w:rsid w:val="000F0D78"/>
    <w:rsid w:val="000F2B55"/>
    <w:rsid w:val="000F71EA"/>
    <w:rsid w:val="00106DFA"/>
    <w:rsid w:val="001112F3"/>
    <w:rsid w:val="001118AF"/>
    <w:rsid w:val="00115689"/>
    <w:rsid w:val="0012119D"/>
    <w:rsid w:val="00121659"/>
    <w:rsid w:val="0012385A"/>
    <w:rsid w:val="0012432A"/>
    <w:rsid w:val="00127A82"/>
    <w:rsid w:val="00132F2E"/>
    <w:rsid w:val="00133413"/>
    <w:rsid w:val="00143B5C"/>
    <w:rsid w:val="00144DC0"/>
    <w:rsid w:val="00152D47"/>
    <w:rsid w:val="00160338"/>
    <w:rsid w:val="001621F9"/>
    <w:rsid w:val="001626D4"/>
    <w:rsid w:val="00162B7E"/>
    <w:rsid w:val="00164507"/>
    <w:rsid w:val="001741B3"/>
    <w:rsid w:val="00174D50"/>
    <w:rsid w:val="00175F8F"/>
    <w:rsid w:val="00180099"/>
    <w:rsid w:val="00182024"/>
    <w:rsid w:val="0018642A"/>
    <w:rsid w:val="00191D1B"/>
    <w:rsid w:val="001922FD"/>
    <w:rsid w:val="00195DE5"/>
    <w:rsid w:val="00195E22"/>
    <w:rsid w:val="001A350E"/>
    <w:rsid w:val="001A4B86"/>
    <w:rsid w:val="001B16AA"/>
    <w:rsid w:val="001B2394"/>
    <w:rsid w:val="001B25CE"/>
    <w:rsid w:val="001B70E3"/>
    <w:rsid w:val="001C1943"/>
    <w:rsid w:val="001C50DB"/>
    <w:rsid w:val="001D0A0B"/>
    <w:rsid w:val="001D1321"/>
    <w:rsid w:val="001D7EA5"/>
    <w:rsid w:val="001E44C2"/>
    <w:rsid w:val="001E5A70"/>
    <w:rsid w:val="001E7BB4"/>
    <w:rsid w:val="001F0C3A"/>
    <w:rsid w:val="001F3547"/>
    <w:rsid w:val="00203825"/>
    <w:rsid w:val="0020491E"/>
    <w:rsid w:val="00211A38"/>
    <w:rsid w:val="00212DDC"/>
    <w:rsid w:val="00214A39"/>
    <w:rsid w:val="00216B7E"/>
    <w:rsid w:val="00225FDA"/>
    <w:rsid w:val="00230D64"/>
    <w:rsid w:val="0024579E"/>
    <w:rsid w:val="0025353E"/>
    <w:rsid w:val="00253F5B"/>
    <w:rsid w:val="002630E7"/>
    <w:rsid w:val="00263DB4"/>
    <w:rsid w:val="00274F47"/>
    <w:rsid w:val="0027762C"/>
    <w:rsid w:val="00287758"/>
    <w:rsid w:val="00294624"/>
    <w:rsid w:val="00297A0B"/>
    <w:rsid w:val="00297CA9"/>
    <w:rsid w:val="002A115A"/>
    <w:rsid w:val="002A2742"/>
    <w:rsid w:val="002A403E"/>
    <w:rsid w:val="002A4CCC"/>
    <w:rsid w:val="002A5EFF"/>
    <w:rsid w:val="002A735D"/>
    <w:rsid w:val="002B0152"/>
    <w:rsid w:val="002B1BBB"/>
    <w:rsid w:val="002B29D8"/>
    <w:rsid w:val="002C333A"/>
    <w:rsid w:val="002C7446"/>
    <w:rsid w:val="002D36DD"/>
    <w:rsid w:val="002D3E94"/>
    <w:rsid w:val="002E1B0A"/>
    <w:rsid w:val="002E3923"/>
    <w:rsid w:val="002E3F0C"/>
    <w:rsid w:val="002E47D4"/>
    <w:rsid w:val="002E7343"/>
    <w:rsid w:val="002F5045"/>
    <w:rsid w:val="002F5151"/>
    <w:rsid w:val="002F6058"/>
    <w:rsid w:val="0030048B"/>
    <w:rsid w:val="0030571A"/>
    <w:rsid w:val="003059B6"/>
    <w:rsid w:val="00305F2B"/>
    <w:rsid w:val="003061B4"/>
    <w:rsid w:val="00307D6F"/>
    <w:rsid w:val="00310604"/>
    <w:rsid w:val="003200DC"/>
    <w:rsid w:val="00321F49"/>
    <w:rsid w:val="003233E8"/>
    <w:rsid w:val="003312FC"/>
    <w:rsid w:val="00334B94"/>
    <w:rsid w:val="00334CC6"/>
    <w:rsid w:val="003458F5"/>
    <w:rsid w:val="00355A9D"/>
    <w:rsid w:val="00356756"/>
    <w:rsid w:val="00357BCB"/>
    <w:rsid w:val="00362D77"/>
    <w:rsid w:val="0037044C"/>
    <w:rsid w:val="00375FD0"/>
    <w:rsid w:val="00377907"/>
    <w:rsid w:val="00380085"/>
    <w:rsid w:val="00383258"/>
    <w:rsid w:val="00391C72"/>
    <w:rsid w:val="00392203"/>
    <w:rsid w:val="003929D4"/>
    <w:rsid w:val="00392F85"/>
    <w:rsid w:val="003A09D8"/>
    <w:rsid w:val="003A221F"/>
    <w:rsid w:val="003A6452"/>
    <w:rsid w:val="003B203E"/>
    <w:rsid w:val="003B4A1F"/>
    <w:rsid w:val="003B55F6"/>
    <w:rsid w:val="003B69F2"/>
    <w:rsid w:val="003C3EF3"/>
    <w:rsid w:val="003C66BA"/>
    <w:rsid w:val="003D165C"/>
    <w:rsid w:val="003D2925"/>
    <w:rsid w:val="003D5E50"/>
    <w:rsid w:val="003E430C"/>
    <w:rsid w:val="003E747B"/>
    <w:rsid w:val="003F40A8"/>
    <w:rsid w:val="00405033"/>
    <w:rsid w:val="00410D01"/>
    <w:rsid w:val="004167CB"/>
    <w:rsid w:val="00426FAC"/>
    <w:rsid w:val="004273AA"/>
    <w:rsid w:val="004328DF"/>
    <w:rsid w:val="00432C02"/>
    <w:rsid w:val="004359C2"/>
    <w:rsid w:val="00437A4E"/>
    <w:rsid w:val="0044010B"/>
    <w:rsid w:val="004406B1"/>
    <w:rsid w:val="00440C00"/>
    <w:rsid w:val="0044157D"/>
    <w:rsid w:val="00444E51"/>
    <w:rsid w:val="00446311"/>
    <w:rsid w:val="0045054A"/>
    <w:rsid w:val="004529FE"/>
    <w:rsid w:val="00454D22"/>
    <w:rsid w:val="00455F1E"/>
    <w:rsid w:val="004840F0"/>
    <w:rsid w:val="00484AB4"/>
    <w:rsid w:val="00484C91"/>
    <w:rsid w:val="0048703E"/>
    <w:rsid w:val="004902EF"/>
    <w:rsid w:val="004908C7"/>
    <w:rsid w:val="00494A7A"/>
    <w:rsid w:val="00497CC7"/>
    <w:rsid w:val="004A185D"/>
    <w:rsid w:val="004A3440"/>
    <w:rsid w:val="004A55C1"/>
    <w:rsid w:val="004A7C9C"/>
    <w:rsid w:val="004B00CB"/>
    <w:rsid w:val="004B3394"/>
    <w:rsid w:val="004C090E"/>
    <w:rsid w:val="004C308A"/>
    <w:rsid w:val="004C49DA"/>
    <w:rsid w:val="004D18B8"/>
    <w:rsid w:val="004D3963"/>
    <w:rsid w:val="004E06F6"/>
    <w:rsid w:val="004F47E2"/>
    <w:rsid w:val="004F684C"/>
    <w:rsid w:val="004F697B"/>
    <w:rsid w:val="00502954"/>
    <w:rsid w:val="0050562A"/>
    <w:rsid w:val="00507648"/>
    <w:rsid w:val="00511476"/>
    <w:rsid w:val="00512185"/>
    <w:rsid w:val="00514163"/>
    <w:rsid w:val="00516DE4"/>
    <w:rsid w:val="00521EAB"/>
    <w:rsid w:val="005221B6"/>
    <w:rsid w:val="00523FF5"/>
    <w:rsid w:val="0052680E"/>
    <w:rsid w:val="00536218"/>
    <w:rsid w:val="0053672C"/>
    <w:rsid w:val="0054706C"/>
    <w:rsid w:val="00547786"/>
    <w:rsid w:val="00547E65"/>
    <w:rsid w:val="005551B9"/>
    <w:rsid w:val="00557361"/>
    <w:rsid w:val="0056591C"/>
    <w:rsid w:val="005706EC"/>
    <w:rsid w:val="00573259"/>
    <w:rsid w:val="005745A6"/>
    <w:rsid w:val="0057553D"/>
    <w:rsid w:val="005840CA"/>
    <w:rsid w:val="00586A5C"/>
    <w:rsid w:val="00587A8D"/>
    <w:rsid w:val="00593105"/>
    <w:rsid w:val="0059399B"/>
    <w:rsid w:val="005A20EC"/>
    <w:rsid w:val="005A7CEA"/>
    <w:rsid w:val="005A7EB8"/>
    <w:rsid w:val="005B2A83"/>
    <w:rsid w:val="005B4911"/>
    <w:rsid w:val="005B6130"/>
    <w:rsid w:val="005C79B5"/>
    <w:rsid w:val="005D5895"/>
    <w:rsid w:val="005D6010"/>
    <w:rsid w:val="005E4906"/>
    <w:rsid w:val="005F1537"/>
    <w:rsid w:val="005F51C9"/>
    <w:rsid w:val="00603646"/>
    <w:rsid w:val="00605687"/>
    <w:rsid w:val="00611DEC"/>
    <w:rsid w:val="006131B4"/>
    <w:rsid w:val="00622698"/>
    <w:rsid w:val="00622B80"/>
    <w:rsid w:val="00625463"/>
    <w:rsid w:val="00626E4E"/>
    <w:rsid w:val="006272AA"/>
    <w:rsid w:val="00631F26"/>
    <w:rsid w:val="00632EA8"/>
    <w:rsid w:val="00637009"/>
    <w:rsid w:val="00641480"/>
    <w:rsid w:val="006526B0"/>
    <w:rsid w:val="00653017"/>
    <w:rsid w:val="00656E6E"/>
    <w:rsid w:val="006574CC"/>
    <w:rsid w:val="00660E67"/>
    <w:rsid w:val="00663AB2"/>
    <w:rsid w:val="00664EEC"/>
    <w:rsid w:val="00671778"/>
    <w:rsid w:val="0067464A"/>
    <w:rsid w:val="00675848"/>
    <w:rsid w:val="00676551"/>
    <w:rsid w:val="00687456"/>
    <w:rsid w:val="00687D8A"/>
    <w:rsid w:val="006A4A66"/>
    <w:rsid w:val="006A7D88"/>
    <w:rsid w:val="006B012D"/>
    <w:rsid w:val="006B0BB3"/>
    <w:rsid w:val="006B2F3F"/>
    <w:rsid w:val="006B3DEE"/>
    <w:rsid w:val="006C03FC"/>
    <w:rsid w:val="006C0ED9"/>
    <w:rsid w:val="006C2A3E"/>
    <w:rsid w:val="006C3154"/>
    <w:rsid w:val="006E3326"/>
    <w:rsid w:val="006E5027"/>
    <w:rsid w:val="006E68D7"/>
    <w:rsid w:val="006F36DF"/>
    <w:rsid w:val="006F4F06"/>
    <w:rsid w:val="00702596"/>
    <w:rsid w:val="00703BE3"/>
    <w:rsid w:val="00704A67"/>
    <w:rsid w:val="00710296"/>
    <w:rsid w:val="00714876"/>
    <w:rsid w:val="00725C47"/>
    <w:rsid w:val="00732058"/>
    <w:rsid w:val="007356DE"/>
    <w:rsid w:val="0073792D"/>
    <w:rsid w:val="00740B84"/>
    <w:rsid w:val="00740CF4"/>
    <w:rsid w:val="00741BBE"/>
    <w:rsid w:val="00746238"/>
    <w:rsid w:val="00750064"/>
    <w:rsid w:val="007656B5"/>
    <w:rsid w:val="00773D1D"/>
    <w:rsid w:val="0077788E"/>
    <w:rsid w:val="007805A1"/>
    <w:rsid w:val="00780E6B"/>
    <w:rsid w:val="007835A7"/>
    <w:rsid w:val="00791DA4"/>
    <w:rsid w:val="00792464"/>
    <w:rsid w:val="007A0974"/>
    <w:rsid w:val="007A2225"/>
    <w:rsid w:val="007A633C"/>
    <w:rsid w:val="007B148A"/>
    <w:rsid w:val="007B3443"/>
    <w:rsid w:val="007C4949"/>
    <w:rsid w:val="007D0976"/>
    <w:rsid w:val="007D242E"/>
    <w:rsid w:val="007D5449"/>
    <w:rsid w:val="007D617E"/>
    <w:rsid w:val="007E7153"/>
    <w:rsid w:val="007F0510"/>
    <w:rsid w:val="007F0FB2"/>
    <w:rsid w:val="007F3C19"/>
    <w:rsid w:val="007F68E7"/>
    <w:rsid w:val="007F6A14"/>
    <w:rsid w:val="008010B1"/>
    <w:rsid w:val="008110BD"/>
    <w:rsid w:val="00811563"/>
    <w:rsid w:val="00812580"/>
    <w:rsid w:val="00825507"/>
    <w:rsid w:val="00826308"/>
    <w:rsid w:val="00834725"/>
    <w:rsid w:val="00841542"/>
    <w:rsid w:val="00841993"/>
    <w:rsid w:val="00843820"/>
    <w:rsid w:val="00853C89"/>
    <w:rsid w:val="00863257"/>
    <w:rsid w:val="008650D2"/>
    <w:rsid w:val="00866A1B"/>
    <w:rsid w:val="0087014B"/>
    <w:rsid w:val="00871211"/>
    <w:rsid w:val="00873303"/>
    <w:rsid w:val="008815CA"/>
    <w:rsid w:val="00881F47"/>
    <w:rsid w:val="008822FA"/>
    <w:rsid w:val="008852A8"/>
    <w:rsid w:val="00887E76"/>
    <w:rsid w:val="00894A7A"/>
    <w:rsid w:val="00897798"/>
    <w:rsid w:val="008978F8"/>
    <w:rsid w:val="008A74D3"/>
    <w:rsid w:val="008B334D"/>
    <w:rsid w:val="008B6F15"/>
    <w:rsid w:val="008C2A46"/>
    <w:rsid w:val="008D05F0"/>
    <w:rsid w:val="008D509D"/>
    <w:rsid w:val="008E0C6D"/>
    <w:rsid w:val="008E4593"/>
    <w:rsid w:val="008E5D5C"/>
    <w:rsid w:val="008F1EE2"/>
    <w:rsid w:val="00905B0E"/>
    <w:rsid w:val="00910C05"/>
    <w:rsid w:val="00910D79"/>
    <w:rsid w:val="0091335C"/>
    <w:rsid w:val="0091360B"/>
    <w:rsid w:val="0091419B"/>
    <w:rsid w:val="009142B9"/>
    <w:rsid w:val="00914BFE"/>
    <w:rsid w:val="00917A17"/>
    <w:rsid w:val="00917D6D"/>
    <w:rsid w:val="0092121A"/>
    <w:rsid w:val="00922BB0"/>
    <w:rsid w:val="00922FFA"/>
    <w:rsid w:val="00923193"/>
    <w:rsid w:val="009248CF"/>
    <w:rsid w:val="00927EDE"/>
    <w:rsid w:val="00930745"/>
    <w:rsid w:val="00932EAF"/>
    <w:rsid w:val="00933342"/>
    <w:rsid w:val="009361E7"/>
    <w:rsid w:val="009372E1"/>
    <w:rsid w:val="009406AE"/>
    <w:rsid w:val="00940DA4"/>
    <w:rsid w:val="0095727F"/>
    <w:rsid w:val="009616E0"/>
    <w:rsid w:val="009718A1"/>
    <w:rsid w:val="009750B3"/>
    <w:rsid w:val="00981197"/>
    <w:rsid w:val="00985DCC"/>
    <w:rsid w:val="0099233F"/>
    <w:rsid w:val="009A3428"/>
    <w:rsid w:val="009A3F45"/>
    <w:rsid w:val="009A4C68"/>
    <w:rsid w:val="009A59C3"/>
    <w:rsid w:val="009A71BF"/>
    <w:rsid w:val="009C53BC"/>
    <w:rsid w:val="009C5516"/>
    <w:rsid w:val="009C6ED2"/>
    <w:rsid w:val="009D1B21"/>
    <w:rsid w:val="009E4740"/>
    <w:rsid w:val="009F0109"/>
    <w:rsid w:val="009F1037"/>
    <w:rsid w:val="009F4162"/>
    <w:rsid w:val="009F47AB"/>
    <w:rsid w:val="009F71E7"/>
    <w:rsid w:val="00A0570E"/>
    <w:rsid w:val="00A12657"/>
    <w:rsid w:val="00A12B95"/>
    <w:rsid w:val="00A2160E"/>
    <w:rsid w:val="00A3031A"/>
    <w:rsid w:val="00A30F12"/>
    <w:rsid w:val="00A33071"/>
    <w:rsid w:val="00A35EDC"/>
    <w:rsid w:val="00A36DB1"/>
    <w:rsid w:val="00A37248"/>
    <w:rsid w:val="00A43DF8"/>
    <w:rsid w:val="00A43F30"/>
    <w:rsid w:val="00A442D5"/>
    <w:rsid w:val="00A46BE6"/>
    <w:rsid w:val="00A47BB5"/>
    <w:rsid w:val="00A506FD"/>
    <w:rsid w:val="00A50D84"/>
    <w:rsid w:val="00A52063"/>
    <w:rsid w:val="00A5231F"/>
    <w:rsid w:val="00A5378E"/>
    <w:rsid w:val="00A55657"/>
    <w:rsid w:val="00A56A5D"/>
    <w:rsid w:val="00A5769F"/>
    <w:rsid w:val="00A645CD"/>
    <w:rsid w:val="00A77340"/>
    <w:rsid w:val="00A773A4"/>
    <w:rsid w:val="00A8079F"/>
    <w:rsid w:val="00A82015"/>
    <w:rsid w:val="00A833EA"/>
    <w:rsid w:val="00A83B4D"/>
    <w:rsid w:val="00A97A35"/>
    <w:rsid w:val="00AA1F13"/>
    <w:rsid w:val="00AA3146"/>
    <w:rsid w:val="00AA3946"/>
    <w:rsid w:val="00AA5BFB"/>
    <w:rsid w:val="00AB37AC"/>
    <w:rsid w:val="00AC1DDB"/>
    <w:rsid w:val="00AC2E14"/>
    <w:rsid w:val="00AC44F5"/>
    <w:rsid w:val="00AC700D"/>
    <w:rsid w:val="00AD0358"/>
    <w:rsid w:val="00AD2022"/>
    <w:rsid w:val="00AD2B5E"/>
    <w:rsid w:val="00AD5B1E"/>
    <w:rsid w:val="00AD6FBF"/>
    <w:rsid w:val="00AE0D92"/>
    <w:rsid w:val="00AF0371"/>
    <w:rsid w:val="00AF1DB3"/>
    <w:rsid w:val="00B01E57"/>
    <w:rsid w:val="00B02309"/>
    <w:rsid w:val="00B03C4C"/>
    <w:rsid w:val="00B21AD3"/>
    <w:rsid w:val="00B24178"/>
    <w:rsid w:val="00B270EA"/>
    <w:rsid w:val="00B30188"/>
    <w:rsid w:val="00B31E2E"/>
    <w:rsid w:val="00B33199"/>
    <w:rsid w:val="00B347AA"/>
    <w:rsid w:val="00B35CE9"/>
    <w:rsid w:val="00B411DA"/>
    <w:rsid w:val="00B41EC8"/>
    <w:rsid w:val="00B44B16"/>
    <w:rsid w:val="00B45E83"/>
    <w:rsid w:val="00B50E49"/>
    <w:rsid w:val="00B5121A"/>
    <w:rsid w:val="00B51979"/>
    <w:rsid w:val="00B61C99"/>
    <w:rsid w:val="00B63B3A"/>
    <w:rsid w:val="00B6407B"/>
    <w:rsid w:val="00B678D2"/>
    <w:rsid w:val="00B84B4F"/>
    <w:rsid w:val="00B878B6"/>
    <w:rsid w:val="00B901CC"/>
    <w:rsid w:val="00B90528"/>
    <w:rsid w:val="00B91C38"/>
    <w:rsid w:val="00B96F2C"/>
    <w:rsid w:val="00B979D1"/>
    <w:rsid w:val="00BA30EE"/>
    <w:rsid w:val="00BA3541"/>
    <w:rsid w:val="00BB1641"/>
    <w:rsid w:val="00BC0CBC"/>
    <w:rsid w:val="00BC44B3"/>
    <w:rsid w:val="00BC64D7"/>
    <w:rsid w:val="00BC7DF3"/>
    <w:rsid w:val="00BD10EE"/>
    <w:rsid w:val="00BD20CC"/>
    <w:rsid w:val="00BE6100"/>
    <w:rsid w:val="00BE7AAD"/>
    <w:rsid w:val="00BF215D"/>
    <w:rsid w:val="00BF244E"/>
    <w:rsid w:val="00BF35DB"/>
    <w:rsid w:val="00BF5234"/>
    <w:rsid w:val="00BF75E4"/>
    <w:rsid w:val="00BF77F2"/>
    <w:rsid w:val="00C0201E"/>
    <w:rsid w:val="00C035B2"/>
    <w:rsid w:val="00C03915"/>
    <w:rsid w:val="00C06690"/>
    <w:rsid w:val="00C07A14"/>
    <w:rsid w:val="00C17083"/>
    <w:rsid w:val="00C314DE"/>
    <w:rsid w:val="00C33E8B"/>
    <w:rsid w:val="00C33F81"/>
    <w:rsid w:val="00C43CA8"/>
    <w:rsid w:val="00C45ECF"/>
    <w:rsid w:val="00C46B7C"/>
    <w:rsid w:val="00C46E6B"/>
    <w:rsid w:val="00C56288"/>
    <w:rsid w:val="00C57877"/>
    <w:rsid w:val="00C57D01"/>
    <w:rsid w:val="00C61EC1"/>
    <w:rsid w:val="00C65034"/>
    <w:rsid w:val="00C66C53"/>
    <w:rsid w:val="00C77E5D"/>
    <w:rsid w:val="00C8256A"/>
    <w:rsid w:val="00C86EAA"/>
    <w:rsid w:val="00C87FA2"/>
    <w:rsid w:val="00CB0181"/>
    <w:rsid w:val="00CB4125"/>
    <w:rsid w:val="00CC1179"/>
    <w:rsid w:val="00CC39A0"/>
    <w:rsid w:val="00CD5D3E"/>
    <w:rsid w:val="00CD6C45"/>
    <w:rsid w:val="00CE6D60"/>
    <w:rsid w:val="00CE714A"/>
    <w:rsid w:val="00CF4843"/>
    <w:rsid w:val="00D00CE6"/>
    <w:rsid w:val="00D026B7"/>
    <w:rsid w:val="00D02A20"/>
    <w:rsid w:val="00D03971"/>
    <w:rsid w:val="00D0683C"/>
    <w:rsid w:val="00D07E20"/>
    <w:rsid w:val="00D151C8"/>
    <w:rsid w:val="00D2245B"/>
    <w:rsid w:val="00D26A7C"/>
    <w:rsid w:val="00D27D68"/>
    <w:rsid w:val="00D3072F"/>
    <w:rsid w:val="00D3501C"/>
    <w:rsid w:val="00D445BA"/>
    <w:rsid w:val="00D45FC4"/>
    <w:rsid w:val="00D471E2"/>
    <w:rsid w:val="00D5218C"/>
    <w:rsid w:val="00D57A1B"/>
    <w:rsid w:val="00D6099C"/>
    <w:rsid w:val="00D6250B"/>
    <w:rsid w:val="00D6526B"/>
    <w:rsid w:val="00D668BE"/>
    <w:rsid w:val="00D66ED0"/>
    <w:rsid w:val="00D71DC9"/>
    <w:rsid w:val="00D7547A"/>
    <w:rsid w:val="00D7626F"/>
    <w:rsid w:val="00D80100"/>
    <w:rsid w:val="00D81434"/>
    <w:rsid w:val="00D82E0E"/>
    <w:rsid w:val="00D87AAE"/>
    <w:rsid w:val="00D93071"/>
    <w:rsid w:val="00D97F88"/>
    <w:rsid w:val="00DA294E"/>
    <w:rsid w:val="00DA336E"/>
    <w:rsid w:val="00DA349E"/>
    <w:rsid w:val="00DB1C56"/>
    <w:rsid w:val="00DB3906"/>
    <w:rsid w:val="00DB4B31"/>
    <w:rsid w:val="00DB6411"/>
    <w:rsid w:val="00DB7C59"/>
    <w:rsid w:val="00DC13A0"/>
    <w:rsid w:val="00DC18BF"/>
    <w:rsid w:val="00DC563A"/>
    <w:rsid w:val="00DD561A"/>
    <w:rsid w:val="00DE1970"/>
    <w:rsid w:val="00DE7B26"/>
    <w:rsid w:val="00DF046A"/>
    <w:rsid w:val="00DF5E9B"/>
    <w:rsid w:val="00DF7505"/>
    <w:rsid w:val="00E0763F"/>
    <w:rsid w:val="00E1291A"/>
    <w:rsid w:val="00E13935"/>
    <w:rsid w:val="00E17D78"/>
    <w:rsid w:val="00E17F3E"/>
    <w:rsid w:val="00E17F3F"/>
    <w:rsid w:val="00E2179D"/>
    <w:rsid w:val="00E22285"/>
    <w:rsid w:val="00E2237E"/>
    <w:rsid w:val="00E25B5F"/>
    <w:rsid w:val="00E354E8"/>
    <w:rsid w:val="00E3586F"/>
    <w:rsid w:val="00E36680"/>
    <w:rsid w:val="00E36894"/>
    <w:rsid w:val="00E371E7"/>
    <w:rsid w:val="00E459A8"/>
    <w:rsid w:val="00E46E02"/>
    <w:rsid w:val="00E53DA2"/>
    <w:rsid w:val="00E5578E"/>
    <w:rsid w:val="00E609A3"/>
    <w:rsid w:val="00E62A59"/>
    <w:rsid w:val="00E7092A"/>
    <w:rsid w:val="00E74666"/>
    <w:rsid w:val="00E779AA"/>
    <w:rsid w:val="00E8517A"/>
    <w:rsid w:val="00E90D67"/>
    <w:rsid w:val="00E93AD9"/>
    <w:rsid w:val="00E969BC"/>
    <w:rsid w:val="00E96EA9"/>
    <w:rsid w:val="00EA000D"/>
    <w:rsid w:val="00EA031E"/>
    <w:rsid w:val="00EA224A"/>
    <w:rsid w:val="00EA2A8F"/>
    <w:rsid w:val="00EA773E"/>
    <w:rsid w:val="00EA7B6D"/>
    <w:rsid w:val="00EA7CC5"/>
    <w:rsid w:val="00EB0093"/>
    <w:rsid w:val="00EB07F4"/>
    <w:rsid w:val="00EB58D4"/>
    <w:rsid w:val="00EC5C56"/>
    <w:rsid w:val="00ED68CC"/>
    <w:rsid w:val="00ED7805"/>
    <w:rsid w:val="00EE14AC"/>
    <w:rsid w:val="00EF12E4"/>
    <w:rsid w:val="00EF1D64"/>
    <w:rsid w:val="00EF653F"/>
    <w:rsid w:val="00F02444"/>
    <w:rsid w:val="00F02F78"/>
    <w:rsid w:val="00F065DB"/>
    <w:rsid w:val="00F10E88"/>
    <w:rsid w:val="00F137E8"/>
    <w:rsid w:val="00F16AC1"/>
    <w:rsid w:val="00F2140F"/>
    <w:rsid w:val="00F21E88"/>
    <w:rsid w:val="00F22317"/>
    <w:rsid w:val="00F3146B"/>
    <w:rsid w:val="00F32115"/>
    <w:rsid w:val="00F3562D"/>
    <w:rsid w:val="00F36782"/>
    <w:rsid w:val="00F42D57"/>
    <w:rsid w:val="00F56C67"/>
    <w:rsid w:val="00F57388"/>
    <w:rsid w:val="00F60559"/>
    <w:rsid w:val="00F652ED"/>
    <w:rsid w:val="00F72DE6"/>
    <w:rsid w:val="00F80FFB"/>
    <w:rsid w:val="00F82F40"/>
    <w:rsid w:val="00F90351"/>
    <w:rsid w:val="00F904AC"/>
    <w:rsid w:val="00F918B8"/>
    <w:rsid w:val="00F92AF7"/>
    <w:rsid w:val="00F94E56"/>
    <w:rsid w:val="00FA2711"/>
    <w:rsid w:val="00FA29BA"/>
    <w:rsid w:val="00FA39B5"/>
    <w:rsid w:val="00FB0178"/>
    <w:rsid w:val="00FB1B32"/>
    <w:rsid w:val="00FB47FB"/>
    <w:rsid w:val="00FB75D4"/>
    <w:rsid w:val="00FC0989"/>
    <w:rsid w:val="00FC1650"/>
    <w:rsid w:val="00FC5FBC"/>
    <w:rsid w:val="00FD086E"/>
    <w:rsid w:val="00FE0BCC"/>
    <w:rsid w:val="00FE16D3"/>
    <w:rsid w:val="00FE335C"/>
    <w:rsid w:val="00FE3A70"/>
    <w:rsid w:val="00FE789E"/>
    <w:rsid w:val="00FF0628"/>
    <w:rsid w:val="00FF229C"/>
    <w:rsid w:val="00FF27A7"/>
    <w:rsid w:val="00FF337B"/>
    <w:rsid w:val="05EA6DE4"/>
    <w:rsid w:val="06831449"/>
    <w:rsid w:val="0ACCDF65"/>
    <w:rsid w:val="0B3BBCF7"/>
    <w:rsid w:val="11A3F0CA"/>
    <w:rsid w:val="13264B1B"/>
    <w:rsid w:val="1EA70E54"/>
    <w:rsid w:val="2BF8EF82"/>
    <w:rsid w:val="2D4DB03C"/>
    <w:rsid w:val="3141DCD1"/>
    <w:rsid w:val="392DE6FE"/>
    <w:rsid w:val="3AF71CF5"/>
    <w:rsid w:val="3EB65E74"/>
    <w:rsid w:val="4427EA8B"/>
    <w:rsid w:val="46BFD4DC"/>
    <w:rsid w:val="47C956AA"/>
    <w:rsid w:val="492E8A79"/>
    <w:rsid w:val="49CB27EE"/>
    <w:rsid w:val="4CEB8EF1"/>
    <w:rsid w:val="50F906C4"/>
    <w:rsid w:val="575DB160"/>
    <w:rsid w:val="580B22C3"/>
    <w:rsid w:val="5D345B3A"/>
    <w:rsid w:val="60497C50"/>
    <w:rsid w:val="62CEFCF0"/>
    <w:rsid w:val="671C1B5E"/>
    <w:rsid w:val="6A2D7309"/>
    <w:rsid w:val="708C6F57"/>
    <w:rsid w:val="74A83032"/>
    <w:rsid w:val="7A2941FA"/>
  </w:rsids>
  <m:mathPr>
    <m:mathFont m:val="Cambria Math"/>
    <m:brkBin m:val="before"/>
    <m:brkBinSub m:val="--"/>
    <m:smallFrac/>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79E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8"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4B31"/>
    <w:pPr>
      <w:spacing w:after="200"/>
    </w:pPr>
    <w:rPr>
      <w:rFonts w:ascii="Calibri" w:hAnsi="Calibri"/>
      <w:sz w:val="24"/>
      <w:szCs w:val="22"/>
      <w:lang w:val="en-GB"/>
    </w:rPr>
  </w:style>
  <w:style w:type="paragraph" w:styleId="Heading1">
    <w:name w:val="heading 1"/>
    <w:aliases w:val="KTH Rubrik 1"/>
    <w:basedOn w:val="Normal"/>
    <w:next w:val="BodyText"/>
    <w:link w:val="Heading1Char"/>
    <w:uiPriority w:val="9"/>
    <w:qFormat/>
    <w:rsid w:val="00923193"/>
    <w:pPr>
      <w:keepNext/>
      <w:keepLines/>
      <w:spacing w:before="240" w:after="240" w:line="280" w:lineRule="atLeast"/>
      <w:outlineLvl w:val="0"/>
    </w:pPr>
    <w:rPr>
      <w:rFonts w:asciiTheme="majorHAnsi" w:eastAsiaTheme="majorEastAsia" w:hAnsiTheme="majorHAnsi" w:cstheme="majorBidi"/>
      <w:b/>
      <w:bCs/>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9"/>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9"/>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0"/>
    <w:qFormat/>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0"/>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Table text"/>
    <w:basedOn w:val="Normal"/>
    <w:next w:val="BodyText"/>
    <w:link w:val="SubtitleChar"/>
    <w:uiPriority w:val="99"/>
    <w:qFormat/>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Table text Char"/>
    <w:basedOn w:val="DefaultParagraphFont"/>
    <w:link w:val="Subtitle"/>
    <w:uiPriority w:val="99"/>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7"/>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7"/>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7"/>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8"/>
      </w:numPr>
      <w:contextualSpacing/>
    </w:pPr>
  </w:style>
  <w:style w:type="paragraph" w:styleId="ListBullet3">
    <w:name w:val="List Bullet 3"/>
    <w:aliases w:val="KTH Punktlista 3"/>
    <w:basedOn w:val="ListBullet"/>
    <w:uiPriority w:val="99"/>
    <w:semiHidden/>
    <w:rsid w:val="00922FFA"/>
    <w:pPr>
      <w:numPr>
        <w:ilvl w:val="2"/>
        <w:numId w:val="9"/>
      </w:numPr>
    </w:pPr>
  </w:style>
  <w:style w:type="paragraph" w:customStyle="1" w:styleId="KTHNumreradlistaNumreradlista">
    <w:name w:val="KTH Numrerad lista  (Numrerad lista)"/>
    <w:basedOn w:val="Normal"/>
    <w:uiPriority w:val="5"/>
    <w:qFormat/>
    <w:rsid w:val="006C3154"/>
    <w:pPr>
      <w:numPr>
        <w:numId w:val="6"/>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6"/>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6"/>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rsid w:val="00611DEC"/>
    <w:rPr>
      <w:rFonts w:asciiTheme="majorHAnsi" w:eastAsiaTheme="majorEastAsia" w:hAnsiTheme="majorHAnsi" w:cstheme="majorBidi"/>
      <w:color w:val="0C2952" w:themeColor="accent1" w:themeShade="7F"/>
      <w:sz w:val="24"/>
      <w:szCs w:val="22"/>
      <w:lang w:val="en-GB"/>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sz w:val="24"/>
      <w:szCs w:val="22"/>
      <w:lang w:val="en-GB"/>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sz w:val="24"/>
      <w:szCs w:val="22"/>
      <w:lang w:val="en-GB"/>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sz w:val="24"/>
      <w:szCs w:val="22"/>
      <w:lang w:val="en-GB"/>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sz w:val="24"/>
      <w:szCs w:val="22"/>
      <w:lang w:val="en-GB"/>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99"/>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99"/>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character" w:styleId="Hyperlink">
    <w:name w:val="Hyperlink"/>
    <w:basedOn w:val="DefaultParagraphFont"/>
    <w:uiPriority w:val="99"/>
    <w:unhideWhenUsed/>
    <w:rsid w:val="000B3F8A"/>
    <w:rPr>
      <w:color w:val="0000FF" w:themeColor="hyperlink"/>
      <w:u w:val="single"/>
      <w:lang w:val="en-GB"/>
    </w:rPr>
  </w:style>
  <w:style w:type="character" w:styleId="Emphasis">
    <w:name w:val="Emphasis"/>
    <w:aliases w:val="NoSpace"/>
    <w:uiPriority w:val="99"/>
    <w:qFormat/>
    <w:rsid w:val="000B3F8A"/>
    <w:rPr>
      <w:b/>
      <w:bCs/>
      <w:i/>
      <w:iCs/>
      <w:spacing w:val="10"/>
      <w:bdr w:val="none" w:sz="0" w:space="0" w:color="auto" w:frame="1"/>
      <w:lang w:val="en-GB"/>
    </w:rPr>
  </w:style>
  <w:style w:type="character" w:customStyle="1" w:styleId="tlid-translation">
    <w:name w:val="tlid-translation"/>
    <w:basedOn w:val="DefaultParagraphFont"/>
    <w:rsid w:val="009248CF"/>
  </w:style>
  <w:style w:type="character" w:customStyle="1" w:styleId="A3">
    <w:name w:val="A3"/>
    <w:uiPriority w:val="99"/>
    <w:rsid w:val="009248CF"/>
    <w:rPr>
      <w:rFonts w:cs="Sabon"/>
      <w:color w:val="221E1F"/>
      <w:sz w:val="22"/>
      <w:szCs w:val="22"/>
    </w:rPr>
  </w:style>
  <w:style w:type="paragraph" w:styleId="ListParagraph">
    <w:name w:val="List Paragraph"/>
    <w:basedOn w:val="Normal"/>
    <w:uiPriority w:val="34"/>
    <w:qFormat/>
    <w:rsid w:val="009248CF"/>
    <w:pPr>
      <w:spacing w:after="0"/>
      <w:ind w:left="720"/>
      <w:contextualSpacing/>
    </w:pPr>
    <w:rPr>
      <w:rFonts w:asciiTheme="minorHAnsi" w:eastAsiaTheme="minorEastAsia" w:hAnsiTheme="minorHAnsi"/>
      <w:szCs w:val="24"/>
      <w:lang w:val="sv-SE" w:eastAsia="sv-SE"/>
    </w:rPr>
  </w:style>
  <w:style w:type="character" w:styleId="CommentReference">
    <w:name w:val="annotation reference"/>
    <w:basedOn w:val="DefaultParagraphFont"/>
    <w:uiPriority w:val="99"/>
    <w:semiHidden/>
    <w:unhideWhenUsed/>
    <w:rsid w:val="00E22285"/>
    <w:rPr>
      <w:sz w:val="16"/>
      <w:szCs w:val="16"/>
    </w:rPr>
  </w:style>
  <w:style w:type="paragraph" w:styleId="CommentText">
    <w:name w:val="annotation text"/>
    <w:basedOn w:val="Normal"/>
    <w:link w:val="CommentTextChar"/>
    <w:uiPriority w:val="99"/>
    <w:semiHidden/>
    <w:unhideWhenUsed/>
    <w:rsid w:val="00E22285"/>
    <w:pPr>
      <w:spacing w:after="0"/>
    </w:pPr>
    <w:rPr>
      <w:rFonts w:asciiTheme="minorHAnsi" w:hAnsiTheme="minorHAnsi"/>
      <w:sz w:val="20"/>
      <w:szCs w:val="20"/>
      <w:lang w:val="sv-SE"/>
    </w:rPr>
  </w:style>
  <w:style w:type="character" w:customStyle="1" w:styleId="CommentTextChar">
    <w:name w:val="Comment Text Char"/>
    <w:basedOn w:val="DefaultParagraphFont"/>
    <w:link w:val="CommentText"/>
    <w:uiPriority w:val="99"/>
    <w:semiHidden/>
    <w:rsid w:val="00E22285"/>
  </w:style>
  <w:style w:type="paragraph" w:styleId="BalloonText">
    <w:name w:val="Balloon Text"/>
    <w:basedOn w:val="Normal"/>
    <w:link w:val="BalloonTextChar"/>
    <w:uiPriority w:val="99"/>
    <w:semiHidden/>
    <w:unhideWhenUsed/>
    <w:rsid w:val="00E22285"/>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2285"/>
    <w:rPr>
      <w:rFonts w:ascii="Segoe UI" w:hAnsi="Segoe UI" w:cs="Segoe UI"/>
      <w:sz w:val="18"/>
      <w:szCs w:val="18"/>
      <w:lang w:val="en-GB"/>
    </w:rPr>
  </w:style>
  <w:style w:type="paragraph" w:styleId="NormalWeb">
    <w:name w:val="Normal (Web)"/>
    <w:basedOn w:val="Normal"/>
    <w:uiPriority w:val="99"/>
    <w:unhideWhenUsed/>
    <w:rsid w:val="00A645CD"/>
    <w:pPr>
      <w:spacing w:before="100" w:beforeAutospacing="1" w:after="100" w:afterAutospacing="1"/>
    </w:pPr>
    <w:rPr>
      <w:rFonts w:eastAsia="Times New Roman" w:cs="Times New Roman"/>
      <w:szCs w:val="24"/>
      <w:lang w:val="sv-SE" w:eastAsia="sv-SE"/>
    </w:rPr>
  </w:style>
  <w:style w:type="character" w:styleId="Strong">
    <w:name w:val="Strong"/>
    <w:basedOn w:val="DefaultParagraphFont"/>
    <w:uiPriority w:val="99"/>
    <w:qFormat/>
    <w:rsid w:val="00A645CD"/>
    <w:rPr>
      <w:b/>
      <w:bCs/>
    </w:rPr>
  </w:style>
  <w:style w:type="character" w:styleId="FollowedHyperlink">
    <w:name w:val="FollowedHyperlink"/>
    <w:basedOn w:val="DefaultParagraphFont"/>
    <w:uiPriority w:val="99"/>
    <w:semiHidden/>
    <w:unhideWhenUsed/>
    <w:rsid w:val="00B6407B"/>
    <w:rPr>
      <w:color w:val="800080" w:themeColor="followedHyperlink"/>
      <w:u w:val="single"/>
    </w:rPr>
  </w:style>
  <w:style w:type="paragraph" w:customStyle="1" w:styleId="Pa18">
    <w:name w:val="Pa18"/>
    <w:basedOn w:val="Normal"/>
    <w:next w:val="Normal"/>
    <w:uiPriority w:val="99"/>
    <w:rsid w:val="00B6407B"/>
    <w:pPr>
      <w:autoSpaceDE w:val="0"/>
      <w:autoSpaceDN w:val="0"/>
      <w:adjustRightInd w:val="0"/>
      <w:spacing w:after="0" w:line="201" w:lineRule="atLeast"/>
    </w:pPr>
    <w:rPr>
      <w:rFonts w:ascii="Omnes Medium" w:hAnsi="Omnes Medium"/>
      <w:szCs w:val="24"/>
      <w:lang w:val="sv-SE"/>
    </w:rPr>
  </w:style>
  <w:style w:type="paragraph" w:customStyle="1" w:styleId="Pa9">
    <w:name w:val="Pa9"/>
    <w:basedOn w:val="Normal"/>
    <w:next w:val="Normal"/>
    <w:uiPriority w:val="99"/>
    <w:rsid w:val="00B6407B"/>
    <w:pPr>
      <w:autoSpaceDE w:val="0"/>
      <w:autoSpaceDN w:val="0"/>
      <w:adjustRightInd w:val="0"/>
      <w:spacing w:after="0" w:line="191" w:lineRule="atLeast"/>
    </w:pPr>
    <w:rPr>
      <w:rFonts w:ascii="Omnes Medium" w:hAnsi="Omnes Medium"/>
      <w:szCs w:val="24"/>
      <w:lang w:val="sv-SE"/>
    </w:rPr>
  </w:style>
  <w:style w:type="paragraph" w:customStyle="1" w:styleId="Pa4">
    <w:name w:val="Pa4"/>
    <w:basedOn w:val="Normal"/>
    <w:next w:val="Normal"/>
    <w:uiPriority w:val="99"/>
    <w:rsid w:val="00B6407B"/>
    <w:pPr>
      <w:autoSpaceDE w:val="0"/>
      <w:autoSpaceDN w:val="0"/>
      <w:adjustRightInd w:val="0"/>
      <w:spacing w:after="0" w:line="181" w:lineRule="atLeast"/>
    </w:pPr>
    <w:rPr>
      <w:rFonts w:ascii="Omnes Semibold" w:hAnsi="Omnes Semibold"/>
      <w:szCs w:val="24"/>
      <w:lang w:val="sv-SE"/>
    </w:rPr>
  </w:style>
  <w:style w:type="paragraph" w:customStyle="1" w:styleId="Pa10">
    <w:name w:val="Pa10"/>
    <w:basedOn w:val="Normal"/>
    <w:next w:val="Normal"/>
    <w:uiPriority w:val="99"/>
    <w:rsid w:val="00B6407B"/>
    <w:pPr>
      <w:autoSpaceDE w:val="0"/>
      <w:autoSpaceDN w:val="0"/>
      <w:adjustRightInd w:val="0"/>
      <w:spacing w:after="0" w:line="191" w:lineRule="atLeast"/>
    </w:pPr>
    <w:rPr>
      <w:rFonts w:ascii="Berlingske Serif Tx" w:hAnsi="Berlingske Serif Tx"/>
      <w:szCs w:val="24"/>
      <w:lang w:val="sv-SE"/>
    </w:rPr>
  </w:style>
  <w:style w:type="paragraph" w:styleId="CommentSubject">
    <w:name w:val="annotation subject"/>
    <w:basedOn w:val="CommentText"/>
    <w:next w:val="CommentText"/>
    <w:link w:val="CommentSubjectChar"/>
    <w:uiPriority w:val="99"/>
    <w:semiHidden/>
    <w:unhideWhenUsed/>
    <w:rsid w:val="00B6407B"/>
    <w:pPr>
      <w:spacing w:after="200"/>
    </w:pPr>
    <w:rPr>
      <w:rFonts w:ascii="Times New Roman" w:hAnsi="Times New Roman"/>
      <w:b/>
      <w:bCs/>
      <w:lang w:val="en-GB"/>
    </w:rPr>
  </w:style>
  <w:style w:type="character" w:customStyle="1" w:styleId="CommentSubjectChar">
    <w:name w:val="Comment Subject Char"/>
    <w:basedOn w:val="CommentTextChar"/>
    <w:link w:val="CommentSubject"/>
    <w:uiPriority w:val="99"/>
    <w:semiHidden/>
    <w:rsid w:val="00B6407B"/>
    <w:rPr>
      <w:rFonts w:ascii="Times New Roman" w:hAnsi="Times New Roman"/>
      <w:b/>
      <w:bCs/>
      <w:lang w:val="en-GB"/>
    </w:rPr>
  </w:style>
  <w:style w:type="paragraph" w:styleId="FootnoteText">
    <w:name w:val="footnote text"/>
    <w:basedOn w:val="Normal"/>
    <w:link w:val="FootnoteTextChar"/>
    <w:uiPriority w:val="99"/>
    <w:semiHidden/>
    <w:rsid w:val="00750064"/>
    <w:pPr>
      <w:autoSpaceDE w:val="0"/>
      <w:autoSpaceDN w:val="0"/>
      <w:adjustRightInd w:val="0"/>
      <w:spacing w:after="60"/>
      <w:jc w:val="both"/>
    </w:pPr>
    <w:rPr>
      <w:rFonts w:ascii="Garamond" w:eastAsia="Calibri" w:hAnsi="Garamond" w:cs="Calibri"/>
      <w:color w:val="181716"/>
      <w:sz w:val="20"/>
      <w:szCs w:val="20"/>
    </w:rPr>
  </w:style>
  <w:style w:type="character" w:customStyle="1" w:styleId="FootnoteTextChar">
    <w:name w:val="Footnote Text Char"/>
    <w:basedOn w:val="DefaultParagraphFont"/>
    <w:link w:val="FootnoteText"/>
    <w:uiPriority w:val="99"/>
    <w:semiHidden/>
    <w:rsid w:val="00750064"/>
    <w:rPr>
      <w:rFonts w:ascii="Garamond" w:eastAsia="Calibri" w:hAnsi="Garamond" w:cs="Calibri"/>
      <w:color w:val="181716"/>
      <w:lang w:val="en-GB"/>
    </w:rPr>
  </w:style>
  <w:style w:type="character" w:styleId="FootnoteReference">
    <w:name w:val="footnote reference"/>
    <w:basedOn w:val="DefaultParagraphFont"/>
    <w:uiPriority w:val="99"/>
    <w:semiHidden/>
    <w:rsid w:val="00750064"/>
    <w:rPr>
      <w:rFonts w:cs="Times New Roman"/>
      <w:vertAlign w:val="superscript"/>
    </w:rPr>
  </w:style>
  <w:style w:type="paragraph" w:styleId="Caption">
    <w:name w:val="caption"/>
    <w:basedOn w:val="Normal"/>
    <w:next w:val="Normal"/>
    <w:link w:val="CaptionChar"/>
    <w:uiPriority w:val="99"/>
    <w:qFormat/>
    <w:rsid w:val="006E3326"/>
    <w:pPr>
      <w:tabs>
        <w:tab w:val="left" w:pos="8647"/>
      </w:tabs>
      <w:autoSpaceDE w:val="0"/>
      <w:autoSpaceDN w:val="0"/>
      <w:adjustRightInd w:val="0"/>
      <w:spacing w:before="120" w:after="120"/>
      <w:ind w:left="142" w:right="140"/>
      <w:jc w:val="both"/>
    </w:pPr>
    <w:rPr>
      <w:rFonts w:ascii="Garamond" w:eastAsia="Batang" w:hAnsi="Garamond" w:cs="Calibri"/>
      <w:bCs/>
      <w:color w:val="181716"/>
      <w:szCs w:val="20"/>
      <w:lang w:val="en-US" w:eastAsia="ko-KR"/>
    </w:rPr>
  </w:style>
  <w:style w:type="character" w:customStyle="1" w:styleId="CaptionChar">
    <w:name w:val="Caption Char"/>
    <w:basedOn w:val="DefaultParagraphFont"/>
    <w:link w:val="Caption"/>
    <w:uiPriority w:val="99"/>
    <w:locked/>
    <w:rsid w:val="006E3326"/>
    <w:rPr>
      <w:rFonts w:ascii="Garamond" w:eastAsia="Batang" w:hAnsi="Garamond" w:cs="Calibri"/>
      <w:bCs/>
      <w:color w:val="181716"/>
      <w:sz w:val="24"/>
      <w:lang w:val="en-US" w:eastAsia="ko-KR"/>
    </w:rPr>
  </w:style>
  <w:style w:type="paragraph" w:customStyle="1" w:styleId="Default">
    <w:name w:val="Default"/>
    <w:rsid w:val="005B4911"/>
    <w:pPr>
      <w:autoSpaceDE w:val="0"/>
      <w:autoSpaceDN w:val="0"/>
      <w:adjustRightInd w:val="0"/>
    </w:pPr>
    <w:rPr>
      <w:rFonts w:ascii="Symbol" w:hAnsi="Symbol" w:cs="Symbol"/>
      <w:color w:val="000000"/>
      <w:sz w:val="24"/>
      <w:szCs w:val="24"/>
    </w:rPr>
  </w:style>
  <w:style w:type="paragraph" w:styleId="Revision">
    <w:name w:val="Revision"/>
    <w:hidden/>
    <w:uiPriority w:val="99"/>
    <w:semiHidden/>
    <w:rsid w:val="007D617E"/>
    <w:rPr>
      <w:rFonts w:ascii="Calibri" w:hAnsi="Calibri"/>
      <w:sz w:val="24"/>
      <w:szCs w:val="22"/>
      <w:lang w:val="en-GB"/>
    </w:rPr>
  </w:style>
  <w:style w:type="table" w:styleId="PlainTable1">
    <w:name w:val="Plain Table 1"/>
    <w:basedOn w:val="TableNormal"/>
    <w:uiPriority w:val="99"/>
    <w:rsid w:val="000B732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
    <w:name w:val="Unresolved Mention"/>
    <w:basedOn w:val="DefaultParagraphFont"/>
    <w:uiPriority w:val="99"/>
    <w:semiHidden/>
    <w:unhideWhenUsed/>
    <w:rsid w:val="000875CA"/>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uiPriority w:val="59"/>
    <w:rsid w:val="00910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otkey-layer">
    <w:name w:val="hotkey-layer"/>
    <w:basedOn w:val="DefaultParagraphFont"/>
    <w:rsid w:val="00910C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60053">
      <w:bodyDiv w:val="1"/>
      <w:marLeft w:val="0"/>
      <w:marRight w:val="0"/>
      <w:marTop w:val="0"/>
      <w:marBottom w:val="0"/>
      <w:divBdr>
        <w:top w:val="none" w:sz="0" w:space="0" w:color="auto"/>
        <w:left w:val="none" w:sz="0" w:space="0" w:color="auto"/>
        <w:bottom w:val="none" w:sz="0" w:space="0" w:color="auto"/>
        <w:right w:val="none" w:sz="0" w:space="0" w:color="auto"/>
      </w:divBdr>
    </w:div>
    <w:div w:id="26495579">
      <w:bodyDiv w:val="1"/>
      <w:marLeft w:val="0"/>
      <w:marRight w:val="0"/>
      <w:marTop w:val="0"/>
      <w:marBottom w:val="0"/>
      <w:divBdr>
        <w:top w:val="none" w:sz="0" w:space="0" w:color="auto"/>
        <w:left w:val="none" w:sz="0" w:space="0" w:color="auto"/>
        <w:bottom w:val="none" w:sz="0" w:space="0" w:color="auto"/>
        <w:right w:val="none" w:sz="0" w:space="0" w:color="auto"/>
      </w:divBdr>
    </w:div>
    <w:div w:id="88434208">
      <w:bodyDiv w:val="1"/>
      <w:marLeft w:val="0"/>
      <w:marRight w:val="0"/>
      <w:marTop w:val="0"/>
      <w:marBottom w:val="0"/>
      <w:divBdr>
        <w:top w:val="none" w:sz="0" w:space="0" w:color="auto"/>
        <w:left w:val="none" w:sz="0" w:space="0" w:color="auto"/>
        <w:bottom w:val="none" w:sz="0" w:space="0" w:color="auto"/>
        <w:right w:val="none" w:sz="0" w:space="0" w:color="auto"/>
      </w:divBdr>
    </w:div>
    <w:div w:id="170608210">
      <w:bodyDiv w:val="1"/>
      <w:marLeft w:val="0"/>
      <w:marRight w:val="0"/>
      <w:marTop w:val="0"/>
      <w:marBottom w:val="0"/>
      <w:divBdr>
        <w:top w:val="none" w:sz="0" w:space="0" w:color="auto"/>
        <w:left w:val="none" w:sz="0" w:space="0" w:color="auto"/>
        <w:bottom w:val="none" w:sz="0" w:space="0" w:color="auto"/>
        <w:right w:val="none" w:sz="0" w:space="0" w:color="auto"/>
      </w:divBdr>
    </w:div>
    <w:div w:id="173765593">
      <w:bodyDiv w:val="1"/>
      <w:marLeft w:val="0"/>
      <w:marRight w:val="0"/>
      <w:marTop w:val="0"/>
      <w:marBottom w:val="0"/>
      <w:divBdr>
        <w:top w:val="none" w:sz="0" w:space="0" w:color="auto"/>
        <w:left w:val="none" w:sz="0" w:space="0" w:color="auto"/>
        <w:bottom w:val="none" w:sz="0" w:space="0" w:color="auto"/>
        <w:right w:val="none" w:sz="0" w:space="0" w:color="auto"/>
      </w:divBdr>
    </w:div>
    <w:div w:id="227768312">
      <w:bodyDiv w:val="1"/>
      <w:marLeft w:val="0"/>
      <w:marRight w:val="0"/>
      <w:marTop w:val="0"/>
      <w:marBottom w:val="0"/>
      <w:divBdr>
        <w:top w:val="none" w:sz="0" w:space="0" w:color="auto"/>
        <w:left w:val="none" w:sz="0" w:space="0" w:color="auto"/>
        <w:bottom w:val="none" w:sz="0" w:space="0" w:color="auto"/>
        <w:right w:val="none" w:sz="0" w:space="0" w:color="auto"/>
      </w:divBdr>
      <w:divsChild>
        <w:div w:id="525483576">
          <w:marLeft w:val="346"/>
          <w:marRight w:val="0"/>
          <w:marTop w:val="200"/>
          <w:marBottom w:val="40"/>
          <w:divBdr>
            <w:top w:val="none" w:sz="0" w:space="0" w:color="auto"/>
            <w:left w:val="none" w:sz="0" w:space="0" w:color="auto"/>
            <w:bottom w:val="none" w:sz="0" w:space="0" w:color="auto"/>
            <w:right w:val="none" w:sz="0" w:space="0" w:color="auto"/>
          </w:divBdr>
        </w:div>
        <w:div w:id="219483379">
          <w:marLeft w:val="346"/>
          <w:marRight w:val="0"/>
          <w:marTop w:val="200"/>
          <w:marBottom w:val="40"/>
          <w:divBdr>
            <w:top w:val="none" w:sz="0" w:space="0" w:color="auto"/>
            <w:left w:val="none" w:sz="0" w:space="0" w:color="auto"/>
            <w:bottom w:val="none" w:sz="0" w:space="0" w:color="auto"/>
            <w:right w:val="none" w:sz="0" w:space="0" w:color="auto"/>
          </w:divBdr>
        </w:div>
        <w:div w:id="952135528">
          <w:marLeft w:val="346"/>
          <w:marRight w:val="0"/>
          <w:marTop w:val="200"/>
          <w:marBottom w:val="40"/>
          <w:divBdr>
            <w:top w:val="none" w:sz="0" w:space="0" w:color="auto"/>
            <w:left w:val="none" w:sz="0" w:space="0" w:color="auto"/>
            <w:bottom w:val="none" w:sz="0" w:space="0" w:color="auto"/>
            <w:right w:val="none" w:sz="0" w:space="0" w:color="auto"/>
          </w:divBdr>
        </w:div>
        <w:div w:id="2087069417">
          <w:marLeft w:val="346"/>
          <w:marRight w:val="0"/>
          <w:marTop w:val="200"/>
          <w:marBottom w:val="40"/>
          <w:divBdr>
            <w:top w:val="none" w:sz="0" w:space="0" w:color="auto"/>
            <w:left w:val="none" w:sz="0" w:space="0" w:color="auto"/>
            <w:bottom w:val="none" w:sz="0" w:space="0" w:color="auto"/>
            <w:right w:val="none" w:sz="0" w:space="0" w:color="auto"/>
          </w:divBdr>
        </w:div>
        <w:div w:id="1000737580">
          <w:marLeft w:val="346"/>
          <w:marRight w:val="0"/>
          <w:marTop w:val="200"/>
          <w:marBottom w:val="40"/>
          <w:divBdr>
            <w:top w:val="none" w:sz="0" w:space="0" w:color="auto"/>
            <w:left w:val="none" w:sz="0" w:space="0" w:color="auto"/>
            <w:bottom w:val="none" w:sz="0" w:space="0" w:color="auto"/>
            <w:right w:val="none" w:sz="0" w:space="0" w:color="auto"/>
          </w:divBdr>
        </w:div>
        <w:div w:id="82721773">
          <w:marLeft w:val="346"/>
          <w:marRight w:val="0"/>
          <w:marTop w:val="200"/>
          <w:marBottom w:val="40"/>
          <w:divBdr>
            <w:top w:val="none" w:sz="0" w:space="0" w:color="auto"/>
            <w:left w:val="none" w:sz="0" w:space="0" w:color="auto"/>
            <w:bottom w:val="none" w:sz="0" w:space="0" w:color="auto"/>
            <w:right w:val="none" w:sz="0" w:space="0" w:color="auto"/>
          </w:divBdr>
        </w:div>
        <w:div w:id="1250315051">
          <w:marLeft w:val="346"/>
          <w:marRight w:val="0"/>
          <w:marTop w:val="200"/>
          <w:marBottom w:val="40"/>
          <w:divBdr>
            <w:top w:val="none" w:sz="0" w:space="0" w:color="auto"/>
            <w:left w:val="none" w:sz="0" w:space="0" w:color="auto"/>
            <w:bottom w:val="none" w:sz="0" w:space="0" w:color="auto"/>
            <w:right w:val="none" w:sz="0" w:space="0" w:color="auto"/>
          </w:divBdr>
        </w:div>
        <w:div w:id="648677775">
          <w:marLeft w:val="346"/>
          <w:marRight w:val="0"/>
          <w:marTop w:val="200"/>
          <w:marBottom w:val="40"/>
          <w:divBdr>
            <w:top w:val="none" w:sz="0" w:space="0" w:color="auto"/>
            <w:left w:val="none" w:sz="0" w:space="0" w:color="auto"/>
            <w:bottom w:val="none" w:sz="0" w:space="0" w:color="auto"/>
            <w:right w:val="none" w:sz="0" w:space="0" w:color="auto"/>
          </w:divBdr>
        </w:div>
        <w:div w:id="310719846">
          <w:marLeft w:val="346"/>
          <w:marRight w:val="0"/>
          <w:marTop w:val="200"/>
          <w:marBottom w:val="40"/>
          <w:divBdr>
            <w:top w:val="none" w:sz="0" w:space="0" w:color="auto"/>
            <w:left w:val="none" w:sz="0" w:space="0" w:color="auto"/>
            <w:bottom w:val="none" w:sz="0" w:space="0" w:color="auto"/>
            <w:right w:val="none" w:sz="0" w:space="0" w:color="auto"/>
          </w:divBdr>
        </w:div>
        <w:div w:id="1649554913">
          <w:marLeft w:val="346"/>
          <w:marRight w:val="0"/>
          <w:marTop w:val="200"/>
          <w:marBottom w:val="40"/>
          <w:divBdr>
            <w:top w:val="none" w:sz="0" w:space="0" w:color="auto"/>
            <w:left w:val="none" w:sz="0" w:space="0" w:color="auto"/>
            <w:bottom w:val="none" w:sz="0" w:space="0" w:color="auto"/>
            <w:right w:val="none" w:sz="0" w:space="0" w:color="auto"/>
          </w:divBdr>
        </w:div>
      </w:divsChild>
    </w:div>
    <w:div w:id="257755041">
      <w:bodyDiv w:val="1"/>
      <w:marLeft w:val="0"/>
      <w:marRight w:val="0"/>
      <w:marTop w:val="0"/>
      <w:marBottom w:val="0"/>
      <w:divBdr>
        <w:top w:val="none" w:sz="0" w:space="0" w:color="auto"/>
        <w:left w:val="none" w:sz="0" w:space="0" w:color="auto"/>
        <w:bottom w:val="none" w:sz="0" w:space="0" w:color="auto"/>
        <w:right w:val="none" w:sz="0" w:space="0" w:color="auto"/>
      </w:divBdr>
      <w:divsChild>
        <w:div w:id="595484904">
          <w:marLeft w:val="0"/>
          <w:marRight w:val="0"/>
          <w:marTop w:val="0"/>
          <w:marBottom w:val="450"/>
          <w:divBdr>
            <w:top w:val="none" w:sz="0" w:space="0" w:color="auto"/>
            <w:left w:val="none" w:sz="0" w:space="0" w:color="auto"/>
            <w:bottom w:val="none" w:sz="0" w:space="0" w:color="auto"/>
            <w:right w:val="none" w:sz="0" w:space="0" w:color="auto"/>
          </w:divBdr>
        </w:div>
        <w:div w:id="1275940443">
          <w:marLeft w:val="450"/>
          <w:marRight w:val="0"/>
          <w:marTop w:val="0"/>
          <w:marBottom w:val="0"/>
          <w:divBdr>
            <w:top w:val="none" w:sz="0" w:space="0" w:color="auto"/>
            <w:left w:val="none" w:sz="0" w:space="0" w:color="auto"/>
            <w:bottom w:val="none" w:sz="0" w:space="0" w:color="auto"/>
            <w:right w:val="none" w:sz="0" w:space="0" w:color="auto"/>
          </w:divBdr>
        </w:div>
      </w:divsChild>
    </w:div>
    <w:div w:id="412288126">
      <w:bodyDiv w:val="1"/>
      <w:marLeft w:val="0"/>
      <w:marRight w:val="0"/>
      <w:marTop w:val="0"/>
      <w:marBottom w:val="0"/>
      <w:divBdr>
        <w:top w:val="none" w:sz="0" w:space="0" w:color="auto"/>
        <w:left w:val="none" w:sz="0" w:space="0" w:color="auto"/>
        <w:bottom w:val="none" w:sz="0" w:space="0" w:color="auto"/>
        <w:right w:val="none" w:sz="0" w:space="0" w:color="auto"/>
      </w:divBdr>
    </w:div>
    <w:div w:id="719330474">
      <w:bodyDiv w:val="1"/>
      <w:marLeft w:val="0"/>
      <w:marRight w:val="0"/>
      <w:marTop w:val="0"/>
      <w:marBottom w:val="0"/>
      <w:divBdr>
        <w:top w:val="none" w:sz="0" w:space="0" w:color="auto"/>
        <w:left w:val="none" w:sz="0" w:space="0" w:color="auto"/>
        <w:bottom w:val="none" w:sz="0" w:space="0" w:color="auto"/>
        <w:right w:val="none" w:sz="0" w:space="0" w:color="auto"/>
      </w:divBdr>
    </w:div>
    <w:div w:id="768699135">
      <w:bodyDiv w:val="1"/>
      <w:marLeft w:val="0"/>
      <w:marRight w:val="0"/>
      <w:marTop w:val="0"/>
      <w:marBottom w:val="0"/>
      <w:divBdr>
        <w:top w:val="none" w:sz="0" w:space="0" w:color="auto"/>
        <w:left w:val="none" w:sz="0" w:space="0" w:color="auto"/>
        <w:bottom w:val="none" w:sz="0" w:space="0" w:color="auto"/>
        <w:right w:val="none" w:sz="0" w:space="0" w:color="auto"/>
      </w:divBdr>
    </w:div>
    <w:div w:id="802772648">
      <w:bodyDiv w:val="1"/>
      <w:marLeft w:val="0"/>
      <w:marRight w:val="0"/>
      <w:marTop w:val="0"/>
      <w:marBottom w:val="0"/>
      <w:divBdr>
        <w:top w:val="none" w:sz="0" w:space="0" w:color="auto"/>
        <w:left w:val="none" w:sz="0" w:space="0" w:color="auto"/>
        <w:bottom w:val="none" w:sz="0" w:space="0" w:color="auto"/>
        <w:right w:val="none" w:sz="0" w:space="0" w:color="auto"/>
      </w:divBdr>
    </w:div>
    <w:div w:id="910655090">
      <w:bodyDiv w:val="1"/>
      <w:marLeft w:val="0"/>
      <w:marRight w:val="0"/>
      <w:marTop w:val="0"/>
      <w:marBottom w:val="0"/>
      <w:divBdr>
        <w:top w:val="none" w:sz="0" w:space="0" w:color="auto"/>
        <w:left w:val="none" w:sz="0" w:space="0" w:color="auto"/>
        <w:bottom w:val="none" w:sz="0" w:space="0" w:color="auto"/>
        <w:right w:val="none" w:sz="0" w:space="0" w:color="auto"/>
      </w:divBdr>
    </w:div>
    <w:div w:id="938879173">
      <w:bodyDiv w:val="1"/>
      <w:marLeft w:val="0"/>
      <w:marRight w:val="0"/>
      <w:marTop w:val="0"/>
      <w:marBottom w:val="0"/>
      <w:divBdr>
        <w:top w:val="none" w:sz="0" w:space="0" w:color="auto"/>
        <w:left w:val="none" w:sz="0" w:space="0" w:color="auto"/>
        <w:bottom w:val="none" w:sz="0" w:space="0" w:color="auto"/>
        <w:right w:val="none" w:sz="0" w:space="0" w:color="auto"/>
      </w:divBdr>
    </w:div>
    <w:div w:id="1063455354">
      <w:bodyDiv w:val="1"/>
      <w:marLeft w:val="0"/>
      <w:marRight w:val="0"/>
      <w:marTop w:val="0"/>
      <w:marBottom w:val="0"/>
      <w:divBdr>
        <w:top w:val="none" w:sz="0" w:space="0" w:color="auto"/>
        <w:left w:val="none" w:sz="0" w:space="0" w:color="auto"/>
        <w:bottom w:val="none" w:sz="0" w:space="0" w:color="auto"/>
        <w:right w:val="none" w:sz="0" w:space="0" w:color="auto"/>
      </w:divBdr>
    </w:div>
    <w:div w:id="1242179531">
      <w:bodyDiv w:val="1"/>
      <w:marLeft w:val="0"/>
      <w:marRight w:val="0"/>
      <w:marTop w:val="0"/>
      <w:marBottom w:val="0"/>
      <w:divBdr>
        <w:top w:val="none" w:sz="0" w:space="0" w:color="auto"/>
        <w:left w:val="none" w:sz="0" w:space="0" w:color="auto"/>
        <w:bottom w:val="none" w:sz="0" w:space="0" w:color="auto"/>
        <w:right w:val="none" w:sz="0" w:space="0" w:color="auto"/>
      </w:divBdr>
    </w:div>
    <w:div w:id="1605454933">
      <w:bodyDiv w:val="1"/>
      <w:marLeft w:val="0"/>
      <w:marRight w:val="0"/>
      <w:marTop w:val="0"/>
      <w:marBottom w:val="0"/>
      <w:divBdr>
        <w:top w:val="none" w:sz="0" w:space="0" w:color="auto"/>
        <w:left w:val="none" w:sz="0" w:space="0" w:color="auto"/>
        <w:bottom w:val="none" w:sz="0" w:space="0" w:color="auto"/>
        <w:right w:val="none" w:sz="0" w:space="0" w:color="auto"/>
      </w:divBdr>
    </w:div>
    <w:div w:id="1605845413">
      <w:bodyDiv w:val="1"/>
      <w:marLeft w:val="0"/>
      <w:marRight w:val="0"/>
      <w:marTop w:val="0"/>
      <w:marBottom w:val="0"/>
      <w:divBdr>
        <w:top w:val="none" w:sz="0" w:space="0" w:color="auto"/>
        <w:left w:val="none" w:sz="0" w:space="0" w:color="auto"/>
        <w:bottom w:val="none" w:sz="0" w:space="0" w:color="auto"/>
        <w:right w:val="none" w:sz="0" w:space="0" w:color="auto"/>
      </w:divBdr>
    </w:div>
    <w:div w:id="1627464941">
      <w:bodyDiv w:val="1"/>
      <w:marLeft w:val="0"/>
      <w:marRight w:val="0"/>
      <w:marTop w:val="0"/>
      <w:marBottom w:val="0"/>
      <w:divBdr>
        <w:top w:val="none" w:sz="0" w:space="0" w:color="auto"/>
        <w:left w:val="none" w:sz="0" w:space="0" w:color="auto"/>
        <w:bottom w:val="none" w:sz="0" w:space="0" w:color="auto"/>
        <w:right w:val="none" w:sz="0" w:space="0" w:color="auto"/>
      </w:divBdr>
    </w:div>
    <w:div w:id="1751542706">
      <w:bodyDiv w:val="1"/>
      <w:marLeft w:val="0"/>
      <w:marRight w:val="0"/>
      <w:marTop w:val="0"/>
      <w:marBottom w:val="0"/>
      <w:divBdr>
        <w:top w:val="none" w:sz="0" w:space="0" w:color="auto"/>
        <w:left w:val="none" w:sz="0" w:space="0" w:color="auto"/>
        <w:bottom w:val="none" w:sz="0" w:space="0" w:color="auto"/>
        <w:right w:val="none" w:sz="0" w:space="0" w:color="auto"/>
      </w:divBdr>
    </w:div>
    <w:div w:id="1967930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openknowledge.worldbank.org/handle/10986/21875" TargetMode="External"/><Relationship Id="rId18" Type="http://schemas.openxmlformats.org/officeDocument/2006/relationships/hyperlink" Target="http://www.osemosys.org/publications1.html" TargetMode="External"/><Relationship Id="rId26" Type="http://schemas.openxmlformats.org/officeDocument/2006/relationships/hyperlink" Target="http://geoenergicentrum.se/geoenergidagen/geoenergidagen-2018-2/" TargetMode="External"/><Relationship Id="rId39" Type="http://schemas.openxmlformats.org/officeDocument/2006/relationships/hyperlink" Target="https://doi.org/10.1103/PhysRevE.90.053101" TargetMode="External"/><Relationship Id="rId21" Type="http://schemas.openxmlformats.org/officeDocument/2006/relationships/hyperlink" Target="http://kth.diva-portal.org/smash/record.jsf?dswid=3165&amp;pid=diva2%3A917873&amp;c=11&amp;searchType=SIMPLE&amp;language=en&amp;query=hatef+madani&amp;af=%5B%22personName%3A%5C%22Sommerfeldt%2C+Nelson%5C%22%22%5D&amp;aq=%5B%5B%5D%5D&amp;aq2=%5B%5B%5D%5D&amp;aqe=%5B%5D&amp;noOfRows=50&amp;sortOrder=author_sort_asc&amp;sortOrder2=title_sort_asc&amp;onlyFullText=false&amp;sf=all" TargetMode="External"/><Relationship Id="rId34" Type="http://schemas.openxmlformats.org/officeDocument/2006/relationships/hyperlink" Target="https://doi.org/10.1088/1361-6641/aa59a7%E2%80%8B" TargetMode="External"/><Relationship Id="rId42" Type="http://schemas.openxmlformats.org/officeDocument/2006/relationships/image" Target="media/image5.png"/><Relationship Id="rId47" Type="http://schemas.openxmlformats.org/officeDocument/2006/relationships/image" Target="media/image9.jpeg"/><Relationship Id="rId50" Type="http://schemas.openxmlformats.org/officeDocument/2006/relationships/image" Target="media/image11.png"/><Relationship Id="rId55" Type="http://schemas.openxmlformats.org/officeDocument/2006/relationships/image" Target="media/image16.png"/><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unece.org/fileadmin/DAM/env/water/publications/WAT_Nexus/ECE_MP.WAT_NONE_9/Drina-FINAL-EN-WEB_final-correct.pdf" TargetMode="External"/><Relationship Id="rId29" Type="http://schemas.openxmlformats.org/officeDocument/2006/relationships/hyperlink" Target="https://www.samster.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16/j.ijrefrig.2017.11.006" TargetMode="External"/><Relationship Id="rId24" Type="http://schemas.openxmlformats.org/officeDocument/2006/relationships/hyperlink" Target="https://hpc2017.org/workshop-combination-heat-pumps-solar-energy/" TargetMode="External"/><Relationship Id="rId32" Type="http://schemas.openxmlformats.org/officeDocument/2006/relationships/image" Target="media/image4.png"/><Relationship Id="rId37" Type="http://schemas.openxmlformats.org/officeDocument/2006/relationships/hyperlink" Target="https://doi.org/10.1002/2015JA022073" TargetMode="External"/><Relationship Id="rId40" Type="http://schemas.openxmlformats.org/officeDocument/2006/relationships/hyperlink" Target="mailto:owa@kth.se" TargetMode="External"/><Relationship Id="rId45" Type="http://schemas.openxmlformats.org/officeDocument/2006/relationships/image" Target="media/image8.png"/><Relationship Id="rId53" Type="http://schemas.openxmlformats.org/officeDocument/2006/relationships/image" Target="media/image14.png"/><Relationship Id="rId58"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hyperlink" Target="https://www4.unfccc.int/sites/ndcstaging/PublishedDocuments/Bolivia%20(Plurinational%20State%20of)%20First/INDC-Bolivia-english.pdf" TargetMode="External"/><Relationship Id="rId23" Type="http://schemas.openxmlformats.org/officeDocument/2006/relationships/hyperlink" Target="https://energiradgivningen.se/lagenhet/solceller" TargetMode="External"/><Relationship Id="rId28" Type="http://schemas.openxmlformats.org/officeDocument/2006/relationships/hyperlink" Target="http://sonority.se/" TargetMode="External"/><Relationship Id="rId36" Type="http://schemas.openxmlformats.org/officeDocument/2006/relationships/hyperlink" Target="https://doi.org/10.1002/2015JA021487" TargetMode="External"/><Relationship Id="rId49" Type="http://schemas.openxmlformats.org/officeDocument/2006/relationships/hyperlink" Target="https://doi.org/10.1007/s11214-014-0116-9" TargetMode="External"/><Relationship Id="rId57" Type="http://schemas.openxmlformats.org/officeDocument/2006/relationships/hyperlink" Target="file:///C:/Users/edin/AppData/Local/Microsoft/Windows/INetCache/Content.Outlook/9OCZ2MC3/Impact.docx" TargetMode="External"/><Relationship Id="rId61" Type="http://schemas.openxmlformats.org/officeDocument/2006/relationships/hyperlink" Target="file:///C:/Users/edin/AppData/Local/Microsoft/Windows/INetCache/Content.Outlook/9OCZ2MC3/Impact.docx" TargetMode="External"/><Relationship Id="R7fb7983b3221476e" Type="http://schemas.microsoft.com/office/2018/08/relationships/commentsExtensible" Target="commentsExtensible.xml"/><Relationship Id="rId10" Type="http://schemas.openxmlformats.org/officeDocument/2006/relationships/hyperlink" Target="https://doi.org/10.1016/j.enbuild.2018.04.057" TargetMode="External"/><Relationship Id="rId19" Type="http://schemas.openxmlformats.org/officeDocument/2006/relationships/hyperlink" Target="https://www.nature.com/articles/s41467-018-08275-7" TargetMode="External"/><Relationship Id="rId31" Type="http://schemas.openxmlformats.org/officeDocument/2006/relationships/image" Target="media/image3.png"/><Relationship Id="rId44" Type="http://schemas.openxmlformats.org/officeDocument/2006/relationships/image" Target="media/image7.png"/><Relationship Id="rId52" Type="http://schemas.openxmlformats.org/officeDocument/2006/relationships/image" Target="media/image13.png"/><Relationship Id="rId60" Type="http://schemas.openxmlformats.org/officeDocument/2006/relationships/hyperlink" Target="https://twitter.com/esa_tech/status/1214829250999717888?lang=en"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oi.org/10.1016/j.rser.2017.07.041" TargetMode="External"/><Relationship Id="rId14" Type="http://schemas.openxmlformats.org/officeDocument/2006/relationships/hyperlink" Target="https://un-modelling.github.io/" TargetMode="External"/><Relationship Id="rId22" Type="http://schemas.openxmlformats.org/officeDocument/2006/relationships/hyperlink" Target="http://kth.diva-portal.org/smash/record.jsf?dswid=1053&amp;pid=diva2%3A917865&amp;c=10&amp;searchType=SIMPLE&amp;language=en&amp;query=nelson+sommerfeldt&amp;af=%5B%22personName%3A%5C%22Sommerfeldt%2C+Nelson%5C%22%22%5D&amp;aq=%5B%5B%5D%5D&amp;aq2=%5B%5B%5D%5D&amp;aqe=%5B%5D&amp;noOfRows=50&amp;sortOrder=author_sort_asc&amp;sortOrder2=title_sort_asc&amp;onlyFullText=false&amp;sf=all" TargetMode="External"/><Relationship Id="rId27" Type="http://schemas.openxmlformats.org/officeDocument/2006/relationships/hyperlink" Target="https://www.solhybrid.se/" TargetMode="External"/><Relationship Id="rId30" Type="http://schemas.openxmlformats.org/officeDocument/2006/relationships/image" Target="media/image2.png"/><Relationship Id="rId35" Type="http://schemas.openxmlformats.org/officeDocument/2006/relationships/hyperlink" Target="https://www.iva.se/projekt/research2business/100listan/" TargetMode="External"/><Relationship Id="rId43" Type="http://schemas.openxmlformats.org/officeDocument/2006/relationships/image" Target="media/image6.png"/><Relationship Id="rId48" Type="http://schemas.openxmlformats.org/officeDocument/2006/relationships/image" Target="media/image10.png"/><Relationship Id="rId56" Type="http://schemas.openxmlformats.org/officeDocument/2006/relationships/hyperlink" Target="file:///C:/Users/edin/AppData/Local/Microsoft/Windows/INetCache/Content.Outlook/9OCZ2MC3/Impact.docx" TargetMode="External"/><Relationship Id="rId64" Type="http://schemas.openxmlformats.org/officeDocument/2006/relationships/fontTable" Target="fontTable.xml"/><Relationship Id="Rf8e18640863f43d6" Type="http://schemas.microsoft.com/office/2016/09/relationships/commentsIds" Target="commentsIds.xml"/><Relationship Id="rId8" Type="http://schemas.openxmlformats.org/officeDocument/2006/relationships/image" Target="media/image1.png"/><Relationship Id="rId51" Type="http://schemas.openxmlformats.org/officeDocument/2006/relationships/image" Target="media/image12.png"/><Relationship Id="rId3" Type="http://schemas.openxmlformats.org/officeDocument/2006/relationships/styles" Target="styles.xml"/><Relationship Id="rId12" Type="http://schemas.openxmlformats.org/officeDocument/2006/relationships/hyperlink" Target="https://un-modelling.github.io/" TargetMode="External"/><Relationship Id="rId17" Type="http://schemas.openxmlformats.org/officeDocument/2006/relationships/hyperlink" Target="https://openknowledge.worldbank.org/handle/10986/21875" TargetMode="External"/><Relationship Id="rId25" Type="http://schemas.openxmlformats.org/officeDocument/2006/relationships/hyperlink" Target="https://www.kvpdagen.se/" TargetMode="External"/><Relationship Id="rId33" Type="http://schemas.openxmlformats.org/officeDocument/2006/relationships/hyperlink" Target="https://doi.org/10.1002/adma.201300361" TargetMode="External"/><Relationship Id="rId38" Type="http://schemas.openxmlformats.org/officeDocument/2006/relationships/hyperlink" Target="https://doi.org/10.1088/0741-3335/56/9/095005" TargetMode="External"/><Relationship Id="rId46" Type="http://schemas.openxmlformats.org/officeDocument/2006/relationships/hyperlink" Target="http://www.rexusbexus.net/" TargetMode="External"/><Relationship Id="rId59" Type="http://schemas.openxmlformats.org/officeDocument/2006/relationships/hyperlink" Target="file:///C:/Users/edin/AppData/Local/Microsoft/Windows/INetCache/Content.Outlook/9OCZ2MC3/Impact.docx" TargetMode="External"/><Relationship Id="rId20" Type="http://schemas.openxmlformats.org/officeDocument/2006/relationships/hyperlink" Target="https://groups.google.com/forum/" TargetMode="External"/><Relationship Id="rId41" Type="http://schemas.openxmlformats.org/officeDocument/2006/relationships/hyperlink" Target="https://ncrept.uark.edu/index.php" TargetMode="External"/><Relationship Id="rId54" Type="http://schemas.openxmlformats.org/officeDocument/2006/relationships/image" Target="media/image15.png"/><Relationship Id="rId62" Type="http://schemas.openxmlformats.org/officeDocument/2006/relationships/hyperlink" Target="https://www.facebook.com/EuropeanSpaceAgency/photos/this-novel-water-drop-antenna-waveguide-lens-developed-by-a-researcher-pair-from/10157915387155667/"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D518C7-FC42-445F-89D2-04D4A35C4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43537</Words>
  <Characters>230751</Characters>
  <Application>Microsoft Office Word</Application>
  <DocSecurity>0</DocSecurity>
  <Lines>1922</Lines>
  <Paragraphs>547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2020-04-30T16:35:00Z</dcterms:created>
  <dcterms:modified xsi:type="dcterms:W3CDTF">2020-04-30T16:38:00Z</dcterms:modified>
</cp:coreProperties>
</file>